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845" w:rsidRPr="00E713F0" w:rsidRDefault="00174845" w:rsidP="00174845">
      <w:pPr>
        <w:tabs>
          <w:tab w:val="right" w:pos="9639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i/>
          <w:noProof/>
          <w:sz w:val="28"/>
        </w:rPr>
      </w:pPr>
      <w:r w:rsidRPr="00E713F0">
        <w:rPr>
          <w:rFonts w:eastAsia="MS Mincho"/>
          <w:b/>
          <w:noProof/>
          <w:sz w:val="24"/>
        </w:rPr>
        <w:t>3GPP TSG-RAN WG4 Meeting #76</w:t>
      </w:r>
      <w:r w:rsidRPr="00E713F0">
        <w:rPr>
          <w:rFonts w:eastAsia="MS Mincho"/>
          <w:b/>
          <w:i/>
          <w:noProof/>
          <w:sz w:val="28"/>
        </w:rPr>
        <w:t xml:space="preserve">                                                </w:t>
      </w:r>
      <w:r w:rsidRPr="00E713F0">
        <w:rPr>
          <w:rFonts w:eastAsia="MS Mincho"/>
          <w:b/>
          <w:i/>
          <w:noProof/>
          <w:sz w:val="28"/>
        </w:rPr>
        <w:tab/>
      </w:r>
      <w:r w:rsidRPr="00174845">
        <w:rPr>
          <w:rFonts w:eastAsia="MS Mincho"/>
          <w:b/>
          <w:i/>
          <w:noProof/>
          <w:sz w:val="28"/>
        </w:rPr>
        <w:t>R4-154555</w:t>
      </w:r>
    </w:p>
    <w:p w:rsidR="00174845" w:rsidRPr="00E713F0" w:rsidRDefault="00174845" w:rsidP="00174845">
      <w:pPr>
        <w:widowControl w:val="0"/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eastAsia="x-none"/>
        </w:rPr>
      </w:pPr>
      <w:r w:rsidRPr="00E713F0">
        <w:rPr>
          <w:rFonts w:eastAsia="MS Mincho"/>
          <w:b/>
          <w:noProof/>
          <w:sz w:val="24"/>
          <w:lang w:eastAsia="x-none"/>
        </w:rPr>
        <w:t>Beijing, China, 24 – 28 Aug, 2015</w:t>
      </w:r>
    </w:p>
    <w:p w:rsidR="00174845" w:rsidRPr="00E713F0" w:rsidRDefault="00174845" w:rsidP="00174845">
      <w:pPr>
        <w:widowControl w:val="0"/>
        <w:overflowPunct/>
        <w:autoSpaceDE/>
        <w:autoSpaceDN/>
        <w:adjustRightInd/>
        <w:jc w:val="left"/>
        <w:textAlignment w:val="auto"/>
        <w:rPr>
          <w:rFonts w:ascii="Times New Roman" w:eastAsia="SimSun" w:hAnsi="Times New Roman"/>
          <w:b/>
          <w:noProof/>
          <w:sz w:val="24"/>
          <w:lang w:val="x-none"/>
        </w:rPr>
      </w:pPr>
    </w:p>
    <w:p w:rsidR="00174845" w:rsidRPr="00E713F0" w:rsidRDefault="00174845" w:rsidP="00174845">
      <w:pPr>
        <w:widowControl w:val="0"/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b/>
          <w:sz w:val="24"/>
          <w:lang w:val="x-none" w:eastAsia="x-none"/>
        </w:rPr>
      </w:pPr>
      <w:r w:rsidRPr="00E713F0">
        <w:rPr>
          <w:rFonts w:ascii="Times New Roman" w:eastAsia="MS Mincho" w:hAnsi="Times New Roman"/>
          <w:b/>
          <w:sz w:val="24"/>
          <w:lang w:val="x-none" w:eastAsia="x-none"/>
        </w:rPr>
        <w:t>Source:</w:t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Pr="00E713F0">
        <w:rPr>
          <w:rFonts w:ascii="Times New Roman" w:eastAsia="MS Mincho" w:hAnsi="Times New Roman"/>
          <w:sz w:val="24"/>
          <w:lang w:val="x-none" w:eastAsia="x-none"/>
        </w:rPr>
        <w:t xml:space="preserve">Ericsson </w:t>
      </w:r>
    </w:p>
    <w:p w:rsidR="00174845" w:rsidRPr="00E713F0" w:rsidRDefault="00174845" w:rsidP="00174845">
      <w:pPr>
        <w:widowControl w:val="0"/>
        <w:overflowPunct/>
        <w:autoSpaceDE/>
        <w:autoSpaceDN/>
        <w:adjustRightInd/>
        <w:ind w:left="720" w:hanging="720"/>
        <w:jc w:val="left"/>
        <w:textAlignment w:val="auto"/>
        <w:rPr>
          <w:rFonts w:ascii="Times New Roman" w:eastAsia="MS Mincho" w:hAnsi="Times New Roman"/>
          <w:b/>
          <w:sz w:val="24"/>
          <w:lang w:val="x-none" w:eastAsia="x-none"/>
        </w:rPr>
      </w:pPr>
      <w:r w:rsidRPr="00E713F0">
        <w:rPr>
          <w:rFonts w:ascii="Times New Roman" w:eastAsia="MS Mincho" w:hAnsi="Times New Roman"/>
          <w:b/>
          <w:sz w:val="24"/>
          <w:lang w:val="x-none" w:eastAsia="x-none"/>
        </w:rPr>
        <w:t>Title:</w:t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Pr="00174845">
        <w:rPr>
          <w:rFonts w:ascii="Times New Roman" w:eastAsia="MS Mincho" w:hAnsi="Times New Roman"/>
          <w:sz w:val="24"/>
          <w:lang w:val="x-none" w:eastAsia="x-none"/>
        </w:rPr>
        <w:t>On conducted output power requirements for AAS BS</w:t>
      </w:r>
    </w:p>
    <w:p w:rsidR="00174845" w:rsidRPr="00E713F0" w:rsidRDefault="00174845" w:rsidP="00174845">
      <w:pPr>
        <w:widowControl w:val="0"/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b/>
          <w:sz w:val="24"/>
          <w:lang w:val="x-none" w:eastAsia="x-none"/>
        </w:rPr>
      </w:pPr>
      <w:r w:rsidRPr="00E713F0">
        <w:rPr>
          <w:rFonts w:ascii="Times New Roman" w:eastAsia="MS Mincho" w:hAnsi="Times New Roman"/>
          <w:b/>
          <w:sz w:val="24"/>
          <w:lang w:val="x-none" w:eastAsia="x-none"/>
        </w:rPr>
        <w:t>Agenda item:</w:t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Pr="00E713F0">
        <w:rPr>
          <w:rFonts w:ascii="Times New Roman" w:eastAsia="MS Mincho" w:hAnsi="Times New Roman"/>
          <w:sz w:val="24"/>
          <w:lang w:val="x-none" w:eastAsia="x-none"/>
        </w:rPr>
        <w:t>7.2.4.4</w:t>
      </w:r>
    </w:p>
    <w:p w:rsidR="00174845" w:rsidRPr="00E713F0" w:rsidRDefault="00174845" w:rsidP="00174845">
      <w:pPr>
        <w:widowControl w:val="0"/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b/>
          <w:sz w:val="24"/>
          <w:lang w:val="x-none" w:eastAsia="x-none"/>
        </w:rPr>
      </w:pPr>
      <w:r w:rsidRPr="00E713F0">
        <w:rPr>
          <w:rFonts w:ascii="Times New Roman" w:eastAsia="MS Mincho" w:hAnsi="Times New Roman"/>
          <w:b/>
          <w:sz w:val="24"/>
          <w:lang w:val="x-none" w:eastAsia="x-none"/>
        </w:rPr>
        <w:t>Document for:</w:t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>
        <w:rPr>
          <w:rFonts w:ascii="Times New Roman" w:eastAsia="MS Mincho" w:hAnsi="Times New Roman"/>
          <w:sz w:val="24"/>
          <w:lang w:val="sv-SE" w:eastAsia="x-none"/>
        </w:rPr>
        <w:t>D</w:t>
      </w:r>
      <w:r w:rsidRPr="00E713F0">
        <w:rPr>
          <w:rFonts w:ascii="Times New Roman" w:eastAsia="MS Mincho" w:hAnsi="Times New Roman"/>
          <w:sz w:val="24"/>
          <w:lang w:val="x-none" w:eastAsia="x-none"/>
        </w:rPr>
        <w:t>iscussion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477768" w:rsidRDefault="007A6AEA" w:rsidP="0027144F">
      <w:pPr>
        <w:pStyle w:val="BodyText"/>
        <w:rPr>
          <w:lang w:val="en-US"/>
        </w:rPr>
      </w:pPr>
      <w:r>
        <w:rPr>
          <w:lang w:val="en-US"/>
        </w:rPr>
        <w:t xml:space="preserve">During previous </w:t>
      </w:r>
      <w:r w:rsidR="002F5158">
        <w:rPr>
          <w:lang w:val="en-US"/>
        </w:rPr>
        <w:t xml:space="preserve">RAN4 </w:t>
      </w:r>
      <w:r>
        <w:rPr>
          <w:lang w:val="en-US"/>
        </w:rPr>
        <w:t>meetings</w:t>
      </w:r>
      <w:r w:rsidR="002F5158">
        <w:rPr>
          <w:lang w:val="en-US"/>
        </w:rPr>
        <w:t>,</w:t>
      </w:r>
      <w:r>
        <w:rPr>
          <w:lang w:val="en-US"/>
        </w:rPr>
        <w:t xml:space="preserve"> the concept of AAS-ETAC has been </w:t>
      </w:r>
      <w:r w:rsidR="002F5158">
        <w:rPr>
          <w:lang w:val="en-US"/>
        </w:rPr>
        <w:t xml:space="preserve">agreed </w:t>
      </w:r>
      <w:r>
        <w:rPr>
          <w:lang w:val="en-US"/>
        </w:rPr>
        <w:t xml:space="preserve">as a tool for </w:t>
      </w:r>
      <w:r w:rsidR="002F5158">
        <w:rPr>
          <w:lang w:val="en-US"/>
        </w:rPr>
        <w:t>defining emissions and other requirements</w:t>
      </w:r>
      <w:r w:rsidR="002F5158" w:rsidDel="002F5158">
        <w:rPr>
          <w:lang w:val="en-US"/>
        </w:rPr>
        <w:t xml:space="preserve"> </w:t>
      </w:r>
      <w:r>
        <w:rPr>
          <w:lang w:val="en-US"/>
        </w:rPr>
        <w:t>[</w:t>
      </w:r>
      <w:r w:rsidR="00D7022B">
        <w:rPr>
          <w:lang w:val="en-US"/>
        </w:rPr>
        <w:t>1</w:t>
      </w:r>
      <w:r>
        <w:rPr>
          <w:lang w:val="en-US"/>
        </w:rPr>
        <w:t>]. The emissions requirement</w:t>
      </w:r>
      <w:r w:rsidR="002F5158">
        <w:rPr>
          <w:lang w:val="en-US"/>
        </w:rPr>
        <w:t>s</w:t>
      </w:r>
      <w:r>
        <w:rPr>
          <w:lang w:val="en-US"/>
        </w:rPr>
        <w:t xml:space="preserve"> will be</w:t>
      </w:r>
      <w:r w:rsidR="002F5158">
        <w:rPr>
          <w:lang w:val="en-US"/>
        </w:rPr>
        <w:t xml:space="preserve"> derived from the existing requirements and will be</w:t>
      </w:r>
      <w:r>
        <w:rPr>
          <w:lang w:val="en-US"/>
        </w:rPr>
        <w:t xml:space="preserve"> based on the number of AAS-ETAC. </w:t>
      </w:r>
      <w:r w:rsidR="002F5158">
        <w:rPr>
          <w:lang w:val="en-US"/>
        </w:rPr>
        <w:t>However, counting</w:t>
      </w:r>
      <w:r>
        <w:rPr>
          <w:lang w:val="en-US"/>
        </w:rPr>
        <w:t xml:space="preserve"> the number of AAS-ETAC is still a matter of some ambiguity [</w:t>
      </w:r>
      <w:r w:rsidR="00D7022B">
        <w:rPr>
          <w:lang w:val="en-US"/>
        </w:rPr>
        <w:t>2</w:t>
      </w:r>
      <w:r>
        <w:rPr>
          <w:lang w:val="en-US"/>
        </w:rPr>
        <w:t>]. Once the ambiguities are resolved</w:t>
      </w:r>
      <w:bookmarkStart w:id="0" w:name="_GoBack"/>
      <w:bookmarkEnd w:id="0"/>
      <w:r>
        <w:rPr>
          <w:lang w:val="en-US"/>
        </w:rPr>
        <w:t xml:space="preserve">, </w:t>
      </w:r>
      <w:r w:rsidR="00C878D0">
        <w:rPr>
          <w:lang w:val="en-US"/>
        </w:rPr>
        <w:t>the requirement for total emissions will be based on the total number of AAS-ETAC.</w:t>
      </w:r>
    </w:p>
    <w:p w:rsidR="002F5158" w:rsidRPr="008A7D86" w:rsidRDefault="00C878D0" w:rsidP="0027144F">
      <w:pPr>
        <w:pStyle w:val="BodyText"/>
        <w:rPr>
          <w:lang w:val="en-US"/>
        </w:rPr>
      </w:pPr>
      <w:r>
        <w:rPr>
          <w:lang w:val="en-US"/>
        </w:rPr>
        <w:t xml:space="preserve">It has been </w:t>
      </w:r>
      <w:r w:rsidR="002F5158">
        <w:rPr>
          <w:lang w:val="en-US"/>
        </w:rPr>
        <w:t>discussed that that the concept of</w:t>
      </w:r>
      <w:r>
        <w:rPr>
          <w:lang w:val="en-US"/>
        </w:rPr>
        <w:t xml:space="preserve"> AAS-ETAC could also be applied to the definition of BS rated output power. This document</w:t>
      </w:r>
      <w:r w:rsidR="002F5158">
        <w:rPr>
          <w:lang w:val="en-US"/>
        </w:rPr>
        <w:t xml:space="preserve"> </w:t>
      </w:r>
      <w:r w:rsidR="008D0466">
        <w:rPr>
          <w:lang w:val="en-US"/>
        </w:rPr>
        <w:t xml:space="preserve">highlights different aspects around specifying the </w:t>
      </w:r>
      <w:r w:rsidR="002F5158">
        <w:rPr>
          <w:lang w:val="en-US"/>
        </w:rPr>
        <w:t>conducted output power</w:t>
      </w:r>
      <w:r w:rsidR="008D0466">
        <w:rPr>
          <w:lang w:val="en-US"/>
        </w:rPr>
        <w:t xml:space="preserve"> requirement for an AAS BS and provides a proposal on </w:t>
      </w:r>
      <w:r w:rsidR="008A7D86">
        <w:rPr>
          <w:lang w:val="en-US"/>
        </w:rPr>
        <w:t xml:space="preserve">specifying the BS </w:t>
      </w:r>
      <w:r w:rsidR="008A7D86" w:rsidRPr="008A7D86">
        <w:rPr>
          <w:lang w:val="en-US"/>
        </w:rPr>
        <w:t>rated carrier output power</w:t>
      </w:r>
      <w:r w:rsidR="008D0466">
        <w:rPr>
          <w:lang w:val="en-US"/>
        </w:rPr>
        <w:t xml:space="preserve"> </w:t>
      </w:r>
      <w:r w:rsidR="008A7D86">
        <w:rPr>
          <w:lang w:val="en-US"/>
        </w:rPr>
        <w:t>for an AAS BS</w:t>
      </w:r>
      <w:r w:rsidR="008D0466">
        <w:rPr>
          <w:lang w:val="en-US"/>
        </w:rPr>
        <w:t>.</w:t>
      </w:r>
      <w:r w:rsidR="001C77C3">
        <w:rPr>
          <w:lang w:val="en-US"/>
        </w:rPr>
        <w:t xml:space="preserve"> The contribution further provides exemplary text that is proposed to be added to the </w:t>
      </w:r>
      <w:r w:rsidR="001C77C3" w:rsidRPr="008A7D86">
        <w:rPr>
          <w:lang w:val="en-US"/>
        </w:rPr>
        <w:t>TR 37.842.</w:t>
      </w:r>
    </w:p>
    <w:p w:rsidR="001C77C3" w:rsidRDefault="001C77C3" w:rsidP="004000E8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C77C3" w:rsidRDefault="001C77C3" w:rsidP="001C77C3">
      <w:pPr>
        <w:pStyle w:val="BodyText"/>
        <w:rPr>
          <w:lang w:val="en-US"/>
        </w:rPr>
      </w:pPr>
      <w:r>
        <w:rPr>
          <w:lang w:val="en-US"/>
        </w:rPr>
        <w:t xml:space="preserve">During RAN4#74bis, the topic of emissions was discussed and a framework proposal was agreed. The proposal defined a new term, AAS-ETAC and proposed that the emissions should apply once per AAS-ETAC; i.e. scaling is according to AAS-ETAC. </w:t>
      </w:r>
    </w:p>
    <w:p w:rsidR="001C77C3" w:rsidRDefault="001C77C3" w:rsidP="0061532A">
      <w:pPr>
        <w:pStyle w:val="BodyText"/>
        <w:tabs>
          <w:tab w:val="left" w:pos="0"/>
        </w:tabs>
        <w:rPr>
          <w:lang w:val="en-US"/>
        </w:rPr>
      </w:pPr>
      <w:r>
        <w:rPr>
          <w:lang w:val="en-US"/>
        </w:rPr>
        <w:t>The same framework of AAS-ETAC can also be used to specify the conducted output power requirements for the AAS BS.</w:t>
      </w:r>
    </w:p>
    <w:p w:rsidR="004000E8" w:rsidRDefault="00C878D0" w:rsidP="004000E8">
      <w:pPr>
        <w:pStyle w:val="Heading1"/>
        <w:rPr>
          <w:lang w:val="en-US"/>
        </w:rPr>
      </w:pPr>
      <w:r>
        <w:rPr>
          <w:lang w:val="en-US"/>
        </w:rPr>
        <w:t>BS rated output power</w:t>
      </w:r>
      <w:r w:rsidR="00467F46">
        <w:rPr>
          <w:lang w:val="en-US"/>
        </w:rPr>
        <w:t xml:space="preserve"> in 37.104</w:t>
      </w:r>
    </w:p>
    <w:p w:rsidR="00B9744D" w:rsidRDefault="00B9744D" w:rsidP="00B9744D">
      <w:pPr>
        <w:rPr>
          <w:lang w:val="en-US"/>
        </w:rPr>
      </w:pPr>
      <w:r>
        <w:rPr>
          <w:lang w:val="en-US"/>
        </w:rPr>
        <w:t>The base station rated output power is captured in 37.104 as follows:</w:t>
      </w:r>
    </w:p>
    <w:p w:rsidR="00B9744D" w:rsidRPr="004368AF" w:rsidRDefault="00B9744D" w:rsidP="00B9744D">
      <w:pPr>
        <w:rPr>
          <w:color w:val="0066FF"/>
          <w:lang w:val="en-US"/>
        </w:rPr>
      </w:pPr>
      <w:r w:rsidRPr="004368AF">
        <w:rPr>
          <w:color w:val="0066FF"/>
          <w:lang w:val="en-US"/>
        </w:rPr>
        <w:t>&lt;Beginning of extracted text&gt;</w:t>
      </w:r>
    </w:p>
    <w:p w:rsidR="00B9744D" w:rsidRPr="004368AF" w:rsidRDefault="00B9744D" w:rsidP="00B9744D">
      <w:pPr>
        <w:pStyle w:val="Heading2"/>
        <w:ind w:left="1134" w:hanging="1134"/>
        <w:rPr>
          <w:rFonts w:cs="Times New Roman"/>
          <w:i/>
          <w:color w:val="7F7F7F" w:themeColor="text1" w:themeTint="80"/>
          <w:lang w:eastAsia="sv-SE"/>
        </w:rPr>
      </w:pPr>
      <w:r w:rsidRPr="004368AF">
        <w:rPr>
          <w:rFonts w:cs="Times New Roman"/>
          <w:i/>
          <w:color w:val="7F7F7F" w:themeColor="text1" w:themeTint="80"/>
          <w:lang w:eastAsia="sv-SE"/>
        </w:rPr>
        <w:t>6.2</w:t>
      </w:r>
      <w:r w:rsidRPr="004368AF">
        <w:rPr>
          <w:rFonts w:cs="Times New Roman"/>
          <w:i/>
          <w:color w:val="7F7F7F" w:themeColor="text1" w:themeTint="80"/>
          <w:lang w:eastAsia="sv-SE"/>
        </w:rPr>
        <w:tab/>
        <w:t>Base station output power</w:t>
      </w:r>
    </w:p>
    <w:p w:rsidR="00B9744D" w:rsidRPr="0061532A" w:rsidRDefault="00B9744D" w:rsidP="00B9744D">
      <w:pPr>
        <w:rPr>
          <w:i/>
          <w:color w:val="7F7F7F" w:themeColor="text1" w:themeTint="80"/>
        </w:rPr>
      </w:pPr>
      <w:r w:rsidRPr="0061532A">
        <w:rPr>
          <w:i/>
          <w:color w:val="7F7F7F" w:themeColor="text1" w:themeTint="80"/>
        </w:rPr>
        <w:t>The configured carrier power is the target maximum power for a specific carrier for the operating mode set in the BS within the limits given by the manufacturer’s declaration.</w:t>
      </w:r>
    </w:p>
    <w:p w:rsidR="00B9744D" w:rsidRPr="0061532A" w:rsidRDefault="00B9744D" w:rsidP="00B9744D">
      <w:pPr>
        <w:rPr>
          <w:i/>
          <w:color w:val="7F7F7F" w:themeColor="text1" w:themeTint="80"/>
        </w:rPr>
      </w:pPr>
      <w:r w:rsidRPr="0061532A">
        <w:rPr>
          <w:i/>
          <w:color w:val="7F7F7F" w:themeColor="text1" w:themeTint="80"/>
        </w:rPr>
        <w:t xml:space="preserve">The maximum total output power, </w:t>
      </w:r>
      <w:proofErr w:type="spellStart"/>
      <w:r w:rsidRPr="0061532A">
        <w:rPr>
          <w:i/>
          <w:color w:val="7F7F7F" w:themeColor="text1" w:themeTint="80"/>
        </w:rPr>
        <w:t>P</w:t>
      </w:r>
      <w:r w:rsidRPr="0061532A">
        <w:rPr>
          <w:i/>
          <w:color w:val="7F7F7F" w:themeColor="text1" w:themeTint="80"/>
          <w:vertAlign w:val="subscript"/>
        </w:rPr>
        <w:t>max</w:t>
      </w:r>
      <w:proofErr w:type="spellEnd"/>
      <w:r w:rsidRPr="0061532A">
        <w:rPr>
          <w:i/>
          <w:color w:val="7F7F7F" w:themeColor="text1" w:themeTint="80"/>
        </w:rPr>
        <w:t>, of the base station is the mean power level measured at the antenna connector during the transmitter ON period in a specified reference condition.</w:t>
      </w:r>
    </w:p>
    <w:p w:rsidR="00B9744D" w:rsidRPr="0061532A" w:rsidRDefault="00B9744D" w:rsidP="00B9744D">
      <w:pPr>
        <w:rPr>
          <w:i/>
          <w:color w:val="7F7F7F" w:themeColor="text1" w:themeTint="80"/>
        </w:rPr>
      </w:pPr>
      <w:r w:rsidRPr="0061532A">
        <w:rPr>
          <w:i/>
          <w:color w:val="7F7F7F" w:themeColor="text1" w:themeTint="80"/>
        </w:rPr>
        <w:t xml:space="preserve">The maximum RAT output power, </w:t>
      </w:r>
      <w:proofErr w:type="spellStart"/>
      <w:r w:rsidRPr="0061532A">
        <w:rPr>
          <w:i/>
          <w:color w:val="7F7F7F" w:themeColor="text1" w:themeTint="80"/>
        </w:rPr>
        <w:t>P</w:t>
      </w:r>
      <w:r w:rsidRPr="0061532A">
        <w:rPr>
          <w:i/>
          <w:color w:val="7F7F7F" w:themeColor="text1" w:themeTint="80"/>
          <w:vertAlign w:val="subscript"/>
        </w:rPr>
        <w:t>max</w:t>
      </w:r>
      <w:proofErr w:type="gramStart"/>
      <w:r w:rsidRPr="0061532A">
        <w:rPr>
          <w:i/>
          <w:color w:val="7F7F7F" w:themeColor="text1" w:themeTint="80"/>
          <w:vertAlign w:val="subscript"/>
        </w:rPr>
        <w:t>,RAT</w:t>
      </w:r>
      <w:proofErr w:type="spellEnd"/>
      <w:proofErr w:type="gramEnd"/>
      <w:r w:rsidRPr="0061532A">
        <w:rPr>
          <w:i/>
          <w:color w:val="7F7F7F" w:themeColor="text1" w:themeTint="80"/>
        </w:rPr>
        <w:t>, of the base station is the mean power level measured at the antenna connector during the transmitter ON period for a specific RAT in a specified reference condition.</w:t>
      </w:r>
    </w:p>
    <w:p w:rsidR="00B9744D" w:rsidRPr="0061532A" w:rsidRDefault="00B9744D" w:rsidP="00B9744D">
      <w:pPr>
        <w:rPr>
          <w:i/>
          <w:color w:val="7F7F7F" w:themeColor="text1" w:themeTint="80"/>
        </w:rPr>
      </w:pPr>
      <w:r w:rsidRPr="0061532A">
        <w:rPr>
          <w:i/>
          <w:color w:val="7F7F7F" w:themeColor="text1" w:themeTint="80"/>
        </w:rPr>
        <w:t xml:space="preserve">The maximum carrier output power, </w:t>
      </w:r>
      <w:proofErr w:type="spellStart"/>
      <w:r w:rsidRPr="0061532A">
        <w:rPr>
          <w:i/>
          <w:color w:val="7F7F7F" w:themeColor="text1" w:themeTint="80"/>
        </w:rPr>
        <w:t>P</w:t>
      </w:r>
      <w:r w:rsidRPr="0061532A">
        <w:rPr>
          <w:i/>
          <w:color w:val="7F7F7F" w:themeColor="text1" w:themeTint="80"/>
          <w:vertAlign w:val="subscript"/>
        </w:rPr>
        <w:t>max</w:t>
      </w:r>
      <w:proofErr w:type="gramStart"/>
      <w:r w:rsidRPr="0061532A">
        <w:rPr>
          <w:i/>
          <w:color w:val="7F7F7F" w:themeColor="text1" w:themeTint="80"/>
          <w:vertAlign w:val="subscript"/>
        </w:rPr>
        <w:t>,c</w:t>
      </w:r>
      <w:proofErr w:type="spellEnd"/>
      <w:proofErr w:type="gramEnd"/>
      <w:r w:rsidRPr="0061532A">
        <w:rPr>
          <w:i/>
          <w:color w:val="7F7F7F" w:themeColor="text1" w:themeTint="80"/>
        </w:rPr>
        <w:t xml:space="preserve"> of the base station is the mean power level measured at the antenna connector during the transmitter ON period for a specific carrier in a specified reference condition.</w:t>
      </w:r>
    </w:p>
    <w:p w:rsidR="00B9744D" w:rsidRPr="0061532A" w:rsidRDefault="00B9744D" w:rsidP="00B9744D">
      <w:pPr>
        <w:rPr>
          <w:i/>
          <w:color w:val="7F7F7F" w:themeColor="text1" w:themeTint="80"/>
        </w:rPr>
      </w:pPr>
      <w:r w:rsidRPr="0061532A">
        <w:rPr>
          <w:i/>
          <w:color w:val="7F7F7F" w:themeColor="text1" w:themeTint="80"/>
        </w:rPr>
        <w:t xml:space="preserve">The rated carrier output power, </w:t>
      </w:r>
      <w:proofErr w:type="spellStart"/>
      <w:r w:rsidRPr="0061532A">
        <w:rPr>
          <w:i/>
          <w:color w:val="7F7F7F" w:themeColor="text1" w:themeTint="80"/>
        </w:rPr>
        <w:t>P</w:t>
      </w:r>
      <w:r w:rsidRPr="0061532A">
        <w:rPr>
          <w:i/>
          <w:color w:val="7F7F7F" w:themeColor="text1" w:themeTint="80"/>
          <w:vertAlign w:val="subscript"/>
        </w:rPr>
        <w:t>Rated</w:t>
      </w:r>
      <w:proofErr w:type="gramStart"/>
      <w:r w:rsidRPr="0061532A">
        <w:rPr>
          <w:i/>
          <w:color w:val="7F7F7F" w:themeColor="text1" w:themeTint="80"/>
          <w:vertAlign w:val="subscript"/>
        </w:rPr>
        <w:t>,c</w:t>
      </w:r>
      <w:proofErr w:type="spellEnd"/>
      <w:proofErr w:type="gramEnd"/>
      <w:r w:rsidRPr="0061532A">
        <w:rPr>
          <w:i/>
          <w:color w:val="7F7F7F" w:themeColor="text1" w:themeTint="80"/>
        </w:rPr>
        <w:t>, of the base station is the mean power level for a specific carrier that the manufacturer has declared to be available at the antenna connector during the transmitter ON period.</w:t>
      </w:r>
    </w:p>
    <w:p w:rsidR="00B9744D" w:rsidRPr="0061532A" w:rsidRDefault="00B9744D" w:rsidP="00B9744D">
      <w:pPr>
        <w:rPr>
          <w:i/>
          <w:color w:val="7F7F7F" w:themeColor="text1" w:themeTint="80"/>
        </w:rPr>
      </w:pPr>
      <w:r w:rsidRPr="0061532A">
        <w:rPr>
          <w:i/>
          <w:color w:val="7F7F7F" w:themeColor="text1" w:themeTint="80"/>
        </w:rPr>
        <w:t>The rated carrier output power of the BS shall be as specified in Table 6.2-1.</w:t>
      </w:r>
    </w:p>
    <w:p w:rsidR="00B9744D" w:rsidRPr="0061532A" w:rsidRDefault="00B9744D" w:rsidP="00B9744D">
      <w:pPr>
        <w:pStyle w:val="TH"/>
        <w:rPr>
          <w:i/>
          <w:color w:val="7F7F7F" w:themeColor="text1" w:themeTint="80"/>
        </w:rPr>
      </w:pPr>
      <w:r w:rsidRPr="0061532A">
        <w:rPr>
          <w:rFonts w:hint="eastAsia"/>
          <w:i/>
          <w:color w:val="7F7F7F" w:themeColor="text1" w:themeTint="80"/>
        </w:rPr>
        <w:lastRenderedPageBreak/>
        <w:t>Table 6.2-1 Base Station rated carrier output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568"/>
      </w:tblGrid>
      <w:tr w:rsidR="00B9744D" w:rsidRPr="0061532A" w:rsidTr="002A40C2">
        <w:trPr>
          <w:jc w:val="center"/>
        </w:trPr>
        <w:tc>
          <w:tcPr>
            <w:tcW w:w="2660" w:type="dxa"/>
          </w:tcPr>
          <w:p w:rsidR="00B9744D" w:rsidRPr="0061532A" w:rsidRDefault="00B9744D" w:rsidP="002A40C2">
            <w:pPr>
              <w:pStyle w:val="TAH"/>
              <w:rPr>
                <w:rFonts w:cs="Arial"/>
                <w:i/>
                <w:color w:val="7F7F7F" w:themeColor="text1" w:themeTint="80"/>
              </w:rPr>
            </w:pPr>
            <w:r w:rsidRPr="0061532A">
              <w:rPr>
                <w:rFonts w:cs="Arial"/>
                <w:i/>
                <w:color w:val="7F7F7F" w:themeColor="text1" w:themeTint="80"/>
              </w:rPr>
              <w:t>BS class</w:t>
            </w:r>
          </w:p>
        </w:tc>
        <w:tc>
          <w:tcPr>
            <w:tcW w:w="2568" w:type="dxa"/>
          </w:tcPr>
          <w:p w:rsidR="00B9744D" w:rsidRPr="0061532A" w:rsidRDefault="00B9744D" w:rsidP="002A40C2">
            <w:pPr>
              <w:pStyle w:val="TAH"/>
              <w:rPr>
                <w:rFonts w:cs="Arial"/>
                <w:i/>
                <w:color w:val="7F7F7F" w:themeColor="text1" w:themeTint="80"/>
              </w:rPr>
            </w:pPr>
            <w:proofErr w:type="spellStart"/>
            <w:r w:rsidRPr="0061532A">
              <w:rPr>
                <w:rFonts w:cs="Arial"/>
                <w:i/>
                <w:color w:val="7F7F7F" w:themeColor="text1" w:themeTint="80"/>
              </w:rPr>
              <w:t>P</w:t>
            </w:r>
            <w:r w:rsidRPr="0061532A">
              <w:rPr>
                <w:rFonts w:cs="Arial"/>
                <w:i/>
                <w:color w:val="7F7F7F" w:themeColor="text1" w:themeTint="80"/>
                <w:vertAlign w:val="subscript"/>
              </w:rPr>
              <w:t>Rated,c</w:t>
            </w:r>
            <w:proofErr w:type="spellEnd"/>
          </w:p>
        </w:tc>
      </w:tr>
      <w:tr w:rsidR="00B9744D" w:rsidRPr="0061532A" w:rsidTr="002A40C2">
        <w:trPr>
          <w:jc w:val="center"/>
        </w:trPr>
        <w:tc>
          <w:tcPr>
            <w:tcW w:w="2660" w:type="dxa"/>
          </w:tcPr>
          <w:p w:rsidR="00B9744D" w:rsidRPr="0061532A" w:rsidRDefault="00B9744D" w:rsidP="002A40C2">
            <w:pPr>
              <w:pStyle w:val="TAC"/>
              <w:rPr>
                <w:rFonts w:cs="Arial"/>
                <w:i/>
                <w:color w:val="7F7F7F" w:themeColor="text1" w:themeTint="80"/>
              </w:rPr>
            </w:pPr>
            <w:r w:rsidRPr="0061532A">
              <w:rPr>
                <w:rFonts w:cs="Arial"/>
                <w:i/>
                <w:color w:val="7F7F7F" w:themeColor="text1" w:themeTint="80"/>
              </w:rPr>
              <w:t>Wide Area BS</w:t>
            </w:r>
          </w:p>
        </w:tc>
        <w:tc>
          <w:tcPr>
            <w:tcW w:w="2568" w:type="dxa"/>
          </w:tcPr>
          <w:p w:rsidR="00B9744D" w:rsidRPr="0061532A" w:rsidRDefault="00B9744D" w:rsidP="002A40C2">
            <w:pPr>
              <w:pStyle w:val="TAC"/>
              <w:rPr>
                <w:rFonts w:cs="Arial"/>
                <w:i/>
                <w:color w:val="7F7F7F" w:themeColor="text1" w:themeTint="80"/>
              </w:rPr>
            </w:pPr>
            <w:r w:rsidRPr="0061532A">
              <w:rPr>
                <w:rFonts w:cs="Arial"/>
                <w:i/>
                <w:color w:val="7F7F7F" w:themeColor="text1" w:themeTint="80"/>
              </w:rPr>
              <w:t>(note)</w:t>
            </w:r>
          </w:p>
        </w:tc>
      </w:tr>
      <w:tr w:rsidR="00B9744D" w:rsidRPr="0061532A" w:rsidTr="002A40C2">
        <w:trPr>
          <w:jc w:val="center"/>
        </w:trPr>
        <w:tc>
          <w:tcPr>
            <w:tcW w:w="2660" w:type="dxa"/>
          </w:tcPr>
          <w:p w:rsidR="00B9744D" w:rsidRPr="0061532A" w:rsidRDefault="00B9744D" w:rsidP="002A40C2">
            <w:pPr>
              <w:pStyle w:val="TAC"/>
              <w:rPr>
                <w:rFonts w:cs="Arial"/>
                <w:i/>
                <w:color w:val="7F7F7F" w:themeColor="text1" w:themeTint="80"/>
              </w:rPr>
            </w:pPr>
            <w:r w:rsidRPr="0061532A">
              <w:rPr>
                <w:rFonts w:cs="Arial"/>
                <w:i/>
                <w:color w:val="7F7F7F" w:themeColor="text1" w:themeTint="80"/>
              </w:rPr>
              <w:t>Medium Range BS</w:t>
            </w:r>
          </w:p>
        </w:tc>
        <w:tc>
          <w:tcPr>
            <w:tcW w:w="2568" w:type="dxa"/>
          </w:tcPr>
          <w:p w:rsidR="00B9744D" w:rsidRPr="0061532A" w:rsidRDefault="00B9744D" w:rsidP="002A40C2">
            <w:pPr>
              <w:pStyle w:val="TAC"/>
              <w:rPr>
                <w:rFonts w:cs="Arial"/>
                <w:i/>
                <w:color w:val="7F7F7F" w:themeColor="text1" w:themeTint="80"/>
              </w:rPr>
            </w:pPr>
            <w:r w:rsidRPr="0061532A">
              <w:rPr>
                <w:rFonts w:cs="Arial"/>
                <w:i/>
                <w:color w:val="7F7F7F" w:themeColor="text1" w:themeTint="80"/>
              </w:rPr>
              <w:t xml:space="preserve">≤+ 38 </w:t>
            </w:r>
            <w:proofErr w:type="spellStart"/>
            <w:r w:rsidRPr="0061532A">
              <w:rPr>
                <w:rFonts w:cs="Arial"/>
                <w:i/>
                <w:color w:val="7F7F7F" w:themeColor="text1" w:themeTint="80"/>
              </w:rPr>
              <w:t>dBm</w:t>
            </w:r>
            <w:proofErr w:type="spellEnd"/>
          </w:p>
        </w:tc>
      </w:tr>
      <w:tr w:rsidR="00B9744D" w:rsidRPr="0061532A" w:rsidTr="002A40C2">
        <w:trPr>
          <w:jc w:val="center"/>
        </w:trPr>
        <w:tc>
          <w:tcPr>
            <w:tcW w:w="2660" w:type="dxa"/>
          </w:tcPr>
          <w:p w:rsidR="00B9744D" w:rsidRPr="0061532A" w:rsidRDefault="00B9744D" w:rsidP="002A40C2">
            <w:pPr>
              <w:pStyle w:val="TAC"/>
              <w:rPr>
                <w:rFonts w:cs="Arial"/>
                <w:i/>
                <w:color w:val="7F7F7F" w:themeColor="text1" w:themeTint="80"/>
              </w:rPr>
            </w:pPr>
            <w:r w:rsidRPr="0061532A">
              <w:rPr>
                <w:rFonts w:cs="Arial" w:hint="eastAsia"/>
                <w:i/>
                <w:color w:val="7F7F7F" w:themeColor="text1" w:themeTint="80"/>
                <w:lang w:eastAsia="zh-CN"/>
              </w:rPr>
              <w:t>Local Area BS</w:t>
            </w:r>
          </w:p>
        </w:tc>
        <w:tc>
          <w:tcPr>
            <w:tcW w:w="2568" w:type="dxa"/>
          </w:tcPr>
          <w:p w:rsidR="00B9744D" w:rsidRPr="0061532A" w:rsidRDefault="00B9744D" w:rsidP="002A40C2">
            <w:pPr>
              <w:pStyle w:val="TAC"/>
              <w:rPr>
                <w:rFonts w:cs="Arial"/>
                <w:i/>
                <w:color w:val="7F7F7F" w:themeColor="text1" w:themeTint="80"/>
              </w:rPr>
            </w:pPr>
            <w:r w:rsidRPr="0061532A">
              <w:rPr>
                <w:rFonts w:ascii="Times New Roman" w:hAnsi="Times New Roman" w:cs="Arial"/>
                <w:i/>
                <w:color w:val="7F7F7F" w:themeColor="text1" w:themeTint="80"/>
              </w:rPr>
              <w:t>≤</w:t>
            </w:r>
            <w:r w:rsidRPr="0061532A">
              <w:rPr>
                <w:rFonts w:cs="Arial" w:hint="eastAsia"/>
                <w:i/>
                <w:color w:val="7F7F7F" w:themeColor="text1" w:themeTint="80"/>
                <w:lang w:eastAsia="zh-CN"/>
              </w:rPr>
              <w:t xml:space="preserve">+ 24 </w:t>
            </w:r>
            <w:proofErr w:type="spellStart"/>
            <w:r w:rsidRPr="0061532A">
              <w:rPr>
                <w:rFonts w:cs="Arial" w:hint="eastAsia"/>
                <w:i/>
                <w:color w:val="7F7F7F" w:themeColor="text1" w:themeTint="80"/>
                <w:lang w:eastAsia="zh-CN"/>
              </w:rPr>
              <w:t>dBm</w:t>
            </w:r>
            <w:proofErr w:type="spellEnd"/>
          </w:p>
        </w:tc>
      </w:tr>
      <w:tr w:rsidR="00B9744D" w:rsidRPr="0061532A" w:rsidTr="002A40C2">
        <w:trPr>
          <w:jc w:val="center"/>
        </w:trPr>
        <w:tc>
          <w:tcPr>
            <w:tcW w:w="5228" w:type="dxa"/>
            <w:gridSpan w:val="2"/>
          </w:tcPr>
          <w:p w:rsidR="00B9744D" w:rsidRPr="0061532A" w:rsidRDefault="00B9744D" w:rsidP="002A40C2">
            <w:pPr>
              <w:pStyle w:val="TAN"/>
              <w:rPr>
                <w:rFonts w:cs="Arial"/>
                <w:i/>
                <w:color w:val="7F7F7F" w:themeColor="text1" w:themeTint="80"/>
              </w:rPr>
            </w:pPr>
            <w:r w:rsidRPr="0061532A">
              <w:rPr>
                <w:rFonts w:cs="Arial"/>
                <w:i/>
                <w:color w:val="7F7F7F" w:themeColor="text1" w:themeTint="80"/>
              </w:rPr>
              <w:t>NOTE:</w:t>
            </w:r>
            <w:r w:rsidRPr="0061532A">
              <w:rPr>
                <w:rFonts w:cs="Arial"/>
                <w:i/>
                <w:color w:val="7F7F7F" w:themeColor="text1" w:themeTint="80"/>
              </w:rPr>
              <w:tab/>
              <w:t>There is no upper limit for the rated</w:t>
            </w:r>
            <w:r w:rsidRPr="0061532A">
              <w:rPr>
                <w:rFonts w:cs="Arial" w:hint="eastAsia"/>
                <w:i/>
                <w:color w:val="7F7F7F" w:themeColor="text1" w:themeTint="80"/>
                <w:lang w:eastAsia="zh-CN"/>
              </w:rPr>
              <w:t xml:space="preserve"> carrier </w:t>
            </w:r>
            <w:r w:rsidRPr="0061532A">
              <w:rPr>
                <w:rFonts w:cs="Arial"/>
                <w:i/>
                <w:color w:val="7F7F7F" w:themeColor="text1" w:themeTint="80"/>
              </w:rPr>
              <w:t>output power of the Wide Area Base Station.</w:t>
            </w:r>
          </w:p>
        </w:tc>
      </w:tr>
    </w:tbl>
    <w:p w:rsidR="00B9744D" w:rsidRPr="00C878D0" w:rsidRDefault="00B9744D" w:rsidP="00B9744D">
      <w:pPr>
        <w:rPr>
          <w:i/>
        </w:rPr>
      </w:pPr>
    </w:p>
    <w:p w:rsidR="00B9744D" w:rsidRPr="004368AF" w:rsidRDefault="00B9744D" w:rsidP="00B9744D">
      <w:pPr>
        <w:pStyle w:val="Heading3"/>
        <w:ind w:left="1134" w:hanging="1134"/>
        <w:rPr>
          <w:rFonts w:cs="Times New Roman"/>
          <w:i/>
          <w:color w:val="7F7F7F" w:themeColor="text1" w:themeTint="80"/>
          <w:lang w:eastAsia="x-none"/>
        </w:rPr>
      </w:pPr>
      <w:r w:rsidRPr="004368AF">
        <w:rPr>
          <w:rFonts w:cs="Times New Roman"/>
          <w:i/>
          <w:color w:val="7F7F7F" w:themeColor="text1" w:themeTint="80"/>
          <w:lang w:eastAsia="x-none"/>
        </w:rPr>
        <w:t>6.2.1</w:t>
      </w:r>
      <w:r w:rsidRPr="004368AF">
        <w:rPr>
          <w:rFonts w:cs="Times New Roman"/>
          <w:i/>
          <w:color w:val="7F7F7F" w:themeColor="text1" w:themeTint="80"/>
          <w:lang w:eastAsia="x-none"/>
        </w:rPr>
        <w:tab/>
        <w:t>Minimum requirement</w:t>
      </w:r>
    </w:p>
    <w:p w:rsidR="00B9744D" w:rsidRPr="004368AF" w:rsidRDefault="00B9744D" w:rsidP="00B9744D">
      <w:pPr>
        <w:rPr>
          <w:i/>
          <w:color w:val="7F7F7F" w:themeColor="text1" w:themeTint="80"/>
        </w:rPr>
      </w:pPr>
      <w:r w:rsidRPr="004368AF">
        <w:rPr>
          <w:i/>
          <w:color w:val="7F7F7F" w:themeColor="text1" w:themeTint="80"/>
        </w:rPr>
        <w:t>In normal conditions, the maximum carrier output power shall remain within +2 dB and -2 dB of the configured carrier power declared by the manufacturer.</w:t>
      </w:r>
    </w:p>
    <w:p w:rsidR="00B9744D" w:rsidRPr="004368AF" w:rsidRDefault="00B9744D" w:rsidP="00B9744D">
      <w:pPr>
        <w:rPr>
          <w:i/>
          <w:color w:val="7F7F7F" w:themeColor="text1" w:themeTint="80"/>
        </w:rPr>
      </w:pPr>
      <w:r w:rsidRPr="004368AF">
        <w:rPr>
          <w:i/>
          <w:color w:val="7F7F7F" w:themeColor="text1" w:themeTint="80"/>
        </w:rPr>
        <w:t>In extreme conditions, maximum carrier output power shall remain within +2.5 dB and -2.5 dB of the configured carrier power declared by the manufacturer.</w:t>
      </w:r>
    </w:p>
    <w:p w:rsidR="00B9744D" w:rsidRPr="004368AF" w:rsidRDefault="00B9744D" w:rsidP="00B9744D">
      <w:pPr>
        <w:rPr>
          <w:i/>
          <w:color w:val="7F7F7F" w:themeColor="text1" w:themeTint="80"/>
        </w:rPr>
      </w:pPr>
      <w:r w:rsidRPr="004368AF">
        <w:rPr>
          <w:i/>
          <w:color w:val="7F7F7F" w:themeColor="text1" w:themeTint="80"/>
        </w:rPr>
        <w:t>The definition of the output power parameters declared by the manufacturer can be found in TS 37.141 [10].</w:t>
      </w:r>
    </w:p>
    <w:p w:rsidR="00B9744D" w:rsidRPr="004368AF" w:rsidRDefault="00B9744D" w:rsidP="00B9744D">
      <w:pPr>
        <w:rPr>
          <w:i/>
          <w:color w:val="7F7F7F" w:themeColor="text1" w:themeTint="80"/>
        </w:rPr>
      </w:pPr>
      <w:r w:rsidRPr="004368AF">
        <w:rPr>
          <w:i/>
          <w:color w:val="7F7F7F" w:themeColor="text1" w:themeTint="80"/>
        </w:rPr>
        <w:t>In certain regions, the minimum requirement for normal conditions may apply also for some conditions outside the range of conditions defined as normal</w:t>
      </w:r>
      <w:proofErr w:type="gramStart"/>
      <w:r w:rsidRPr="004368AF">
        <w:rPr>
          <w:i/>
          <w:color w:val="7F7F7F" w:themeColor="text1" w:themeTint="80"/>
        </w:rPr>
        <w:t>..</w:t>
      </w:r>
      <w:proofErr w:type="gramEnd"/>
    </w:p>
    <w:p w:rsidR="00B9744D" w:rsidRPr="004368AF" w:rsidRDefault="00B9744D" w:rsidP="00B9744D">
      <w:pPr>
        <w:rPr>
          <w:color w:val="0066FF"/>
          <w:lang w:val="en-US"/>
        </w:rPr>
      </w:pPr>
      <w:r w:rsidRPr="004368AF">
        <w:rPr>
          <w:color w:val="0066FF"/>
          <w:lang w:val="en-US"/>
        </w:rPr>
        <w:t>&lt;</w:t>
      </w:r>
      <w:r>
        <w:rPr>
          <w:color w:val="0066FF"/>
          <w:lang w:val="en-US"/>
        </w:rPr>
        <w:t>End</w:t>
      </w:r>
      <w:r w:rsidRPr="004368AF">
        <w:rPr>
          <w:color w:val="0066FF"/>
          <w:lang w:val="en-US"/>
        </w:rPr>
        <w:t xml:space="preserve"> of extracted text&gt;</w:t>
      </w:r>
    </w:p>
    <w:p w:rsidR="00B9744D" w:rsidRDefault="00B9744D" w:rsidP="00B9744D"/>
    <w:p w:rsidR="00B9744D" w:rsidRDefault="00B9744D" w:rsidP="00B9744D">
      <w:r>
        <w:t>It is important to note that:</w:t>
      </w:r>
    </w:p>
    <w:p w:rsidR="00B9744D" w:rsidRDefault="00B9744D" w:rsidP="00B9744D">
      <w:pPr>
        <w:pStyle w:val="ListParagraph"/>
        <w:numPr>
          <w:ilvl w:val="0"/>
          <w:numId w:val="13"/>
        </w:numPr>
      </w:pPr>
      <w:r>
        <w:t>Under normal conditions, the requirement is that the maximum carrier output power (which is measured) is within +-2dB (normal conditions) of the rated carrier output power (which is declared).</w:t>
      </w:r>
    </w:p>
    <w:p w:rsidR="00B9744D" w:rsidRDefault="00B9744D" w:rsidP="00B9744D">
      <w:pPr>
        <w:pStyle w:val="ListParagraph"/>
      </w:pPr>
    </w:p>
    <w:p w:rsidR="00B9744D" w:rsidRDefault="00B9744D" w:rsidP="00B9744D">
      <w:pPr>
        <w:pStyle w:val="ListParagraph"/>
        <w:numPr>
          <w:ilvl w:val="0"/>
          <w:numId w:val="13"/>
        </w:numPr>
      </w:pPr>
      <w:r>
        <w:t>Base stations declared as fulfilling Medium Range or Local Area requirements are subject to a restriction on their rated carrier output power.</w:t>
      </w:r>
    </w:p>
    <w:p w:rsidR="00B9744D" w:rsidRDefault="00B9744D" w:rsidP="00B9744D">
      <w:pPr>
        <w:pStyle w:val="Heading2"/>
        <w:tabs>
          <w:tab w:val="left" w:pos="709"/>
        </w:tabs>
        <w:rPr>
          <w:lang w:val="en-US"/>
        </w:rPr>
      </w:pPr>
      <w:r>
        <w:rPr>
          <w:lang w:val="en-US"/>
        </w:rPr>
        <w:t>3.</w:t>
      </w:r>
      <w:r w:rsidR="00666DA8">
        <w:rPr>
          <w:lang w:val="en-US"/>
        </w:rPr>
        <w:t>1</w:t>
      </w:r>
      <w:r>
        <w:rPr>
          <w:lang w:val="en-US"/>
        </w:rPr>
        <w:t xml:space="preserve"> </w:t>
      </w:r>
      <w:r>
        <w:rPr>
          <w:lang w:val="en-US"/>
        </w:rPr>
        <w:tab/>
        <w:t>Number of antenna Connectors</w:t>
      </w:r>
    </w:p>
    <w:p w:rsidR="004368AF" w:rsidRDefault="00B9744D" w:rsidP="00554E19">
      <w:pPr>
        <w:pStyle w:val="BodyText"/>
      </w:pPr>
      <w:r>
        <w:rPr>
          <w:lang w:val="en-US"/>
        </w:rPr>
        <w:t>I</w:t>
      </w:r>
      <w:r w:rsidR="004368AF">
        <w:rPr>
          <w:lang w:val="en-US"/>
        </w:rPr>
        <w:t xml:space="preserve">t is important to note that the transmitter requirements in TS 37.104 are in general </w:t>
      </w:r>
      <w:r w:rsidR="004368AF" w:rsidRPr="00BA7520">
        <w:t>specified at the BS antenna connector</w:t>
      </w:r>
      <w:r w:rsidR="004368AF">
        <w:t>. This is marked in sub-clause 6.1 of TS 37.104 as follows:</w:t>
      </w:r>
    </w:p>
    <w:p w:rsidR="004368AF" w:rsidRPr="004368AF" w:rsidRDefault="004368AF" w:rsidP="004368AF">
      <w:pPr>
        <w:rPr>
          <w:color w:val="0066FF"/>
          <w:lang w:val="en-US"/>
        </w:rPr>
      </w:pPr>
      <w:r w:rsidRPr="004368AF">
        <w:rPr>
          <w:color w:val="0066FF"/>
          <w:lang w:val="en-US"/>
        </w:rPr>
        <w:t>&lt;Beginning of extracted text&gt;</w:t>
      </w:r>
    </w:p>
    <w:p w:rsidR="004368AF" w:rsidRDefault="004368AF" w:rsidP="004368AF">
      <w:pPr>
        <w:rPr>
          <w:i/>
          <w:color w:val="7F7F7F" w:themeColor="text1" w:themeTint="80"/>
        </w:rPr>
      </w:pPr>
      <w:r w:rsidRPr="004368AF">
        <w:rPr>
          <w:i/>
          <w:color w:val="7F7F7F" w:themeColor="text1" w:themeTint="80"/>
        </w:rPr>
        <w:t>Unless otherwise stated, the transmitter characteristics are specified at the BS antenna connector (test port A) with a full complement of transceivers for the configuration in normal operating conditions. If any external apparatus such as a TX amplifier, a filter or the combination of such devices is used, requirements apply at the far end antenna connector (test port B).</w:t>
      </w:r>
    </w:p>
    <w:p w:rsidR="004368AF" w:rsidRPr="00BA7520" w:rsidRDefault="004368AF" w:rsidP="004368AF">
      <w:pPr>
        <w:pStyle w:val="TH"/>
        <w:rPr>
          <w:rFonts w:cs="v5.0.0"/>
        </w:rPr>
      </w:pPr>
      <w:r>
        <w:rPr>
          <w:noProof/>
          <w:lang w:val="sv-SE" w:eastAsia="sv-SE"/>
        </w:rPr>
        <w:drawing>
          <wp:inline distT="0" distB="0" distL="0" distR="0" wp14:anchorId="25A0DA84" wp14:editId="26EBADA8">
            <wp:extent cx="4544503" cy="129990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374" cy="1300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8AF" w:rsidRPr="004368AF" w:rsidRDefault="004368AF" w:rsidP="004368AF">
      <w:pPr>
        <w:pStyle w:val="TF"/>
        <w:rPr>
          <w:i/>
          <w:color w:val="7F7F7F" w:themeColor="text1" w:themeTint="80"/>
        </w:rPr>
      </w:pPr>
      <w:r w:rsidRPr="004368AF">
        <w:rPr>
          <w:i/>
          <w:color w:val="7F7F7F" w:themeColor="text1" w:themeTint="80"/>
        </w:rPr>
        <w:t>Figure 6.1-1: Transmitter test ports</w:t>
      </w:r>
    </w:p>
    <w:p w:rsidR="004368AF" w:rsidRPr="004368AF" w:rsidRDefault="004368AF" w:rsidP="004368AF">
      <w:pPr>
        <w:rPr>
          <w:color w:val="0066FF"/>
          <w:lang w:val="en-US"/>
        </w:rPr>
      </w:pPr>
      <w:r w:rsidRPr="004368AF">
        <w:rPr>
          <w:color w:val="0066FF"/>
          <w:lang w:val="en-US"/>
        </w:rPr>
        <w:t>&lt;</w:t>
      </w:r>
      <w:r>
        <w:rPr>
          <w:color w:val="0066FF"/>
          <w:lang w:val="en-US"/>
        </w:rPr>
        <w:t>End</w:t>
      </w:r>
      <w:r w:rsidRPr="004368AF">
        <w:rPr>
          <w:color w:val="0066FF"/>
          <w:lang w:val="en-US"/>
        </w:rPr>
        <w:t xml:space="preserve"> of extracted text&gt;</w:t>
      </w:r>
    </w:p>
    <w:p w:rsidR="004368AF" w:rsidRPr="004368AF" w:rsidRDefault="00B9744D" w:rsidP="00554E19">
      <w:pPr>
        <w:pStyle w:val="BodyText"/>
      </w:pPr>
      <w:r>
        <w:t xml:space="preserve">This means that </w:t>
      </w:r>
      <w:r>
        <w:rPr>
          <w:lang w:val="en-US"/>
        </w:rPr>
        <w:t xml:space="preserve">the requirement is applicable at each antenna connector and the </w:t>
      </w:r>
      <w:r>
        <w:t>limits on transmit power levels specified in table 6.2-1 above may be different depending on the number of antenna connectors in the BS.</w:t>
      </w:r>
      <w:r w:rsidRPr="00B9744D">
        <w:rPr>
          <w:lang w:val="en-US"/>
        </w:rPr>
        <w:t xml:space="preserve"> </w:t>
      </w:r>
      <w:r>
        <w:rPr>
          <w:lang w:val="en-US"/>
        </w:rPr>
        <w:t xml:space="preserve">Thus for a BS with </w:t>
      </w:r>
      <w:proofErr w:type="spellStart"/>
      <w:r>
        <w:rPr>
          <w:lang w:val="en-US"/>
        </w:rPr>
        <w:t>N</w:t>
      </w:r>
      <w:proofErr w:type="spellEnd"/>
      <w:r>
        <w:rPr>
          <w:lang w:val="en-US"/>
        </w:rPr>
        <w:t xml:space="preserve"> antenna connectors, the rated carrier output power of the BS will be N times larger than the rated carrier output power per connector.</w:t>
      </w:r>
    </w:p>
    <w:p w:rsidR="006C75C4" w:rsidRDefault="00285BE3" w:rsidP="00554E19">
      <w:pPr>
        <w:pStyle w:val="BodyText"/>
        <w:rPr>
          <w:lang w:val="en-US"/>
        </w:rPr>
      </w:pPr>
      <w:r>
        <w:rPr>
          <w:lang w:val="en-US"/>
        </w:rPr>
        <w:t>As a practical example,</w:t>
      </w:r>
      <w:r w:rsidR="00B9744D">
        <w:rPr>
          <w:lang w:val="en-US"/>
        </w:rPr>
        <w:t xml:space="preserve"> consider the illustration in figure 3.</w:t>
      </w:r>
      <w:r w:rsidR="00D701B8">
        <w:rPr>
          <w:lang w:val="en-US"/>
        </w:rPr>
        <w:t>1</w:t>
      </w:r>
      <w:r w:rsidR="00B9744D">
        <w:rPr>
          <w:lang w:val="en-US"/>
        </w:rPr>
        <w:t>-1 where</w:t>
      </w:r>
      <w:r>
        <w:rPr>
          <w:lang w:val="en-US"/>
        </w:rPr>
        <w:t xml:space="preserve"> a base</w:t>
      </w:r>
      <w:r w:rsidR="00B9744D">
        <w:rPr>
          <w:lang w:val="en-US"/>
        </w:rPr>
        <w:t xml:space="preserve"> </w:t>
      </w:r>
      <w:r>
        <w:rPr>
          <w:lang w:val="en-US"/>
        </w:rPr>
        <w:t xml:space="preserve">station declared as medium range with </w:t>
      </w:r>
      <w:r w:rsidR="00B9744D">
        <w:rPr>
          <w:lang w:val="en-US"/>
        </w:rPr>
        <w:t>different</w:t>
      </w:r>
      <w:r>
        <w:rPr>
          <w:lang w:val="en-US"/>
        </w:rPr>
        <w:t xml:space="preserve"> </w:t>
      </w:r>
      <w:r w:rsidR="00B9744D">
        <w:rPr>
          <w:lang w:val="en-US"/>
        </w:rPr>
        <w:t xml:space="preserve">number of </w:t>
      </w:r>
      <w:r>
        <w:rPr>
          <w:lang w:val="en-US"/>
        </w:rPr>
        <w:t>antenna connectors</w:t>
      </w:r>
      <w:r w:rsidR="00B9744D">
        <w:rPr>
          <w:lang w:val="en-US"/>
        </w:rPr>
        <w:t xml:space="preserve"> is shown. </w:t>
      </w:r>
      <w:r w:rsidR="006C75C4">
        <w:rPr>
          <w:lang w:val="en-US"/>
        </w:rPr>
        <w:t xml:space="preserve">In the first case, the BS comprises of only 1 </w:t>
      </w:r>
      <w:r w:rsidR="006C75C4">
        <w:rPr>
          <w:lang w:val="en-US"/>
        </w:rPr>
        <w:lastRenderedPageBreak/>
        <w:t>antenna connector and hence the declared rated</w:t>
      </w:r>
      <w:r w:rsidR="00A17301">
        <w:rPr>
          <w:lang w:val="en-US"/>
        </w:rPr>
        <w:t xml:space="preserve"> carrier</w:t>
      </w:r>
      <w:r w:rsidR="006C75C4">
        <w:rPr>
          <w:lang w:val="en-US"/>
        </w:rPr>
        <w:t xml:space="preserve"> power can be up to 38 </w:t>
      </w:r>
      <w:proofErr w:type="spellStart"/>
      <w:r w:rsidR="006C75C4">
        <w:rPr>
          <w:lang w:val="en-US"/>
        </w:rPr>
        <w:t>dBm</w:t>
      </w:r>
      <w:proofErr w:type="spellEnd"/>
      <w:r w:rsidR="006C75C4">
        <w:rPr>
          <w:lang w:val="en-US"/>
        </w:rPr>
        <w:t xml:space="preserve">. In the second case, the BS comprises of 4 antenna connectors. In this case, the rated </w:t>
      </w:r>
      <w:r w:rsidR="00A17301">
        <w:rPr>
          <w:lang w:val="en-US"/>
        </w:rPr>
        <w:t xml:space="preserve">carrier </w:t>
      </w:r>
      <w:r w:rsidR="006C75C4">
        <w:rPr>
          <w:lang w:val="en-US"/>
        </w:rPr>
        <w:t>power per antenna connector can be up to 38dBm and</w:t>
      </w:r>
      <w:r w:rsidR="00A17301">
        <w:rPr>
          <w:lang w:val="en-US"/>
        </w:rPr>
        <w:t xml:space="preserve"> the BS</w:t>
      </w:r>
      <w:r w:rsidR="006C75C4">
        <w:rPr>
          <w:lang w:val="en-US"/>
        </w:rPr>
        <w:t xml:space="preserve"> </w:t>
      </w:r>
      <w:r w:rsidR="00A17301">
        <w:rPr>
          <w:lang w:val="en-US"/>
        </w:rPr>
        <w:t>could in fact transmit up to 44dBm per carrier</w:t>
      </w:r>
      <w:r w:rsidR="00E71BAC">
        <w:rPr>
          <w:lang w:val="en-US"/>
        </w:rPr>
        <w:t xml:space="preserve"> (where the same carrier is transmitted over all antenna ports)</w:t>
      </w:r>
      <w:r w:rsidR="00A17301">
        <w:rPr>
          <w:lang w:val="en-US"/>
        </w:rPr>
        <w:t>.</w:t>
      </w:r>
      <w:r w:rsidR="00BF1BD2">
        <w:rPr>
          <w:lang w:val="en-US"/>
        </w:rPr>
        <w:t xml:space="preserve"> In the third case, the BS comprises of 8 antenna connectors and may transmit up to 37dBm per carrier.</w:t>
      </w:r>
    </w:p>
    <w:p w:rsidR="00A17301" w:rsidRDefault="00BF1BD2" w:rsidP="00386FA0">
      <w:pPr>
        <w:pStyle w:val="BodyText"/>
        <w:ind w:left="-142" w:right="-426"/>
        <w:jc w:val="center"/>
        <w:rPr>
          <w:lang w:val="en-US"/>
        </w:rPr>
      </w:pPr>
      <w:r w:rsidRPr="00BF1BD2">
        <w:rPr>
          <w:noProof/>
          <w:lang w:val="sv-SE" w:eastAsia="sv-SE"/>
        </w:rPr>
        <w:drawing>
          <wp:inline distT="0" distB="0" distL="0" distR="0" wp14:anchorId="4B4AB31F" wp14:editId="0BC67C4A">
            <wp:extent cx="6446296" cy="2377440"/>
            <wp:effectExtent l="0" t="0" r="0" b="381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786" cy="2377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D701B8" w:rsidRDefault="00D701B8" w:rsidP="0061532A">
      <w:pPr>
        <w:pStyle w:val="BodyText"/>
        <w:jc w:val="center"/>
        <w:rPr>
          <w:lang w:val="en-US"/>
        </w:rPr>
      </w:pPr>
      <w:r>
        <w:rPr>
          <w:lang w:val="en-US"/>
        </w:rPr>
        <w:t>Figure 3.1-1: Scenario showing different number of antenna connectors on a BS</w:t>
      </w:r>
    </w:p>
    <w:p w:rsidR="00E71BAC" w:rsidRPr="0061532A" w:rsidRDefault="00E71BAC" w:rsidP="00E71BAC">
      <w:pPr>
        <w:pStyle w:val="BodyText"/>
        <w:rPr>
          <w:i/>
          <w:iCs/>
          <w:lang w:val="en-US"/>
        </w:rPr>
      </w:pPr>
      <w:r>
        <w:rPr>
          <w:lang w:val="en-US"/>
        </w:rPr>
        <w:t xml:space="preserve">Where </w:t>
      </w:r>
      <w:proofErr w:type="spellStart"/>
      <w:r w:rsidRPr="00E71BAC">
        <w:rPr>
          <w:i/>
          <w:iCs/>
        </w:rPr>
        <w:t>P</w:t>
      </w:r>
      <w:r w:rsidRPr="00E71BAC">
        <w:rPr>
          <w:i/>
          <w:iCs/>
          <w:vertAlign w:val="subscript"/>
        </w:rPr>
        <w:t>Rated</w:t>
      </w:r>
      <w:proofErr w:type="gramStart"/>
      <w:r w:rsidRPr="00E71BAC">
        <w:rPr>
          <w:i/>
          <w:iCs/>
          <w:vertAlign w:val="subscript"/>
        </w:rPr>
        <w:t>,sum</w:t>
      </w:r>
      <w:proofErr w:type="spellEnd"/>
      <w:proofErr w:type="gramEnd"/>
      <w:r w:rsidRPr="00E71BAC">
        <w:rPr>
          <w:i/>
          <w:iCs/>
          <w:vertAlign w:val="subscript"/>
        </w:rPr>
        <w:t xml:space="preserve"> </w:t>
      </w:r>
      <w:r w:rsidRPr="00E71BAC">
        <w:rPr>
          <w:i/>
          <w:iCs/>
        </w:rPr>
        <w:sym w:font="Wingdings" w:char="F0E0"/>
      </w:r>
      <w:r>
        <w:rPr>
          <w:i/>
          <w:iCs/>
        </w:rPr>
        <w:t xml:space="preserve"> is the sum of rated carrier output power across different antenna connectors</w:t>
      </w:r>
    </w:p>
    <w:p w:rsidR="00A17301" w:rsidRDefault="00A17301" w:rsidP="00554E19">
      <w:pPr>
        <w:pStyle w:val="BodyText"/>
        <w:rPr>
          <w:lang w:val="en-US"/>
        </w:rPr>
      </w:pPr>
    </w:p>
    <w:p w:rsidR="006E062C" w:rsidRDefault="00467F46" w:rsidP="006E062C">
      <w:pPr>
        <w:pStyle w:val="Heading1"/>
        <w:rPr>
          <w:lang w:val="en-US"/>
        </w:rPr>
      </w:pPr>
      <w:r>
        <w:rPr>
          <w:lang w:val="en-US"/>
        </w:rPr>
        <w:t>BS conducted output power for AAS</w:t>
      </w:r>
    </w:p>
    <w:p w:rsidR="00467F46" w:rsidRDefault="00467F46" w:rsidP="008D6D1A">
      <w:pPr>
        <w:rPr>
          <w:lang w:val="en-US"/>
        </w:rPr>
      </w:pPr>
      <w:r>
        <w:rPr>
          <w:lang w:val="en-US"/>
        </w:rPr>
        <w:t xml:space="preserve">In addition to the OTA power, a requirement on conducted output power will apply for </w:t>
      </w:r>
      <w:r w:rsidR="00D7022B">
        <w:rPr>
          <w:lang w:val="en-US"/>
        </w:rPr>
        <w:t xml:space="preserve">Rel-13 </w:t>
      </w:r>
      <w:r>
        <w:rPr>
          <w:lang w:val="en-US"/>
        </w:rPr>
        <w:t xml:space="preserve">AAS. The requirement should continue to be applicable at antenna connectors and thus will continue to be in the form of the maximum carrier output power being within +-2dB </w:t>
      </w:r>
      <w:r w:rsidR="00D7022B">
        <w:rPr>
          <w:lang w:val="en-US"/>
        </w:rPr>
        <w:t xml:space="preserve">(or 2.5dB in extreme conditions) </w:t>
      </w:r>
      <w:r>
        <w:rPr>
          <w:lang w:val="en-US"/>
        </w:rPr>
        <w:t>of the rated carrier output power.</w:t>
      </w:r>
    </w:p>
    <w:p w:rsidR="00666DA8" w:rsidRDefault="00666DA8" w:rsidP="008D6D1A">
      <w:pPr>
        <w:rPr>
          <w:lang w:val="en-US"/>
        </w:rPr>
      </w:pPr>
      <w:r>
        <w:rPr>
          <w:lang w:val="en-US"/>
        </w:rPr>
        <w:t xml:space="preserve">In order to specify the BS rated carrier output power as a conducted requirement and maintain a link with the current specifications, the concept of defining the rated carrier output power in relation to AAS-ETAC can be applied. </w:t>
      </w:r>
      <w:r w:rsidR="00A22CEF" w:rsidRPr="00A22CEF">
        <w:rPr>
          <w:lang w:val="en-US"/>
        </w:rPr>
        <w:t>This is based on an assumption that the number of AAS-ETAC (however the number is agreed to be calculated in detail; see [3]) reflects the number of antenna connectors that would be used by a base station fulfilling 37.104 and providing the same MIMO functionality.</w:t>
      </w:r>
      <w:r w:rsidR="00591E70">
        <w:rPr>
          <w:lang w:val="en-US"/>
        </w:rPr>
        <w:t xml:space="preserve"> As a basic principle, the declared rated carrier output power can be specified as the declared carrier power per AAS-ETAC.</w:t>
      </w:r>
      <w:r>
        <w:rPr>
          <w:lang w:val="en-US"/>
        </w:rPr>
        <w:t xml:space="preserve"> </w:t>
      </w:r>
      <w:r w:rsidR="00A22CEF">
        <w:rPr>
          <w:lang w:val="en-US"/>
        </w:rPr>
        <w:t>Under this principle, there may be the following two scenarios:</w:t>
      </w:r>
    </w:p>
    <w:p w:rsidR="00A22CEF" w:rsidRPr="001250DA" w:rsidRDefault="00A22CEF" w:rsidP="0061532A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1250DA">
        <w:rPr>
          <w:b/>
          <w:lang w:val="en-US"/>
        </w:rPr>
        <w:t>Number of Transceivers is = Number of AAS-ETACs</w:t>
      </w:r>
    </w:p>
    <w:p w:rsidR="00A22CEF" w:rsidRDefault="00A22CEF" w:rsidP="0061532A">
      <w:pPr>
        <w:ind w:left="360"/>
        <w:rPr>
          <w:lang w:val="en-US"/>
        </w:rPr>
      </w:pPr>
      <w:r w:rsidRPr="00A22CEF">
        <w:rPr>
          <w:lang w:val="en-US"/>
        </w:rPr>
        <w:t>This is the scenario where one transmitter is mapped to one ETAC and is equivalent to the conventional non-AAS BS</w:t>
      </w:r>
      <w:r w:rsidRPr="009A3B6D">
        <w:rPr>
          <w:lang w:val="en-US"/>
        </w:rPr>
        <w:t>. In this case, it is possible to specify the conducted output power requirements on a per transmitter/transceiver level</w:t>
      </w:r>
      <w:r w:rsidR="000E6297">
        <w:rPr>
          <w:lang w:val="en-US"/>
        </w:rPr>
        <w:t xml:space="preserve"> </w:t>
      </w:r>
      <w:r w:rsidR="000E6297">
        <w:t>without scaling</w:t>
      </w:r>
      <w:r w:rsidRPr="009A3B6D">
        <w:rPr>
          <w:lang w:val="en-US"/>
        </w:rPr>
        <w:t>.</w:t>
      </w:r>
    </w:p>
    <w:p w:rsidR="000E6297" w:rsidRPr="009A3B6D" w:rsidRDefault="000E6297" w:rsidP="000E6297">
      <w:pPr>
        <w:ind w:left="360"/>
        <w:rPr>
          <w:lang w:val="en-US"/>
        </w:rPr>
      </w:pPr>
      <w:r>
        <w:t>It is to be noted that Figure 4-1 shows the simplest case of 1:1 mapping; in reality</w:t>
      </w:r>
      <w:r w:rsidRPr="000E6297">
        <w:t xml:space="preserve"> </w:t>
      </w:r>
      <w:r>
        <w:t xml:space="preserve">it could very well be that each AAS-ETAC is mapped to all transmitters. </w:t>
      </w:r>
    </w:p>
    <w:p w:rsidR="00A22CEF" w:rsidRPr="00A22CEF" w:rsidRDefault="00A22CEF" w:rsidP="0061532A">
      <w:pPr>
        <w:pStyle w:val="ListParagraph"/>
        <w:rPr>
          <w:lang w:val="en-US"/>
        </w:rPr>
      </w:pPr>
    </w:p>
    <w:p w:rsidR="00A22CEF" w:rsidRPr="001250DA" w:rsidRDefault="00A22CEF" w:rsidP="0061532A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1250DA">
        <w:rPr>
          <w:b/>
          <w:lang w:val="en-US"/>
        </w:rPr>
        <w:t>Number of Transceivers is &gt; Number of AAS-ETACs</w:t>
      </w:r>
    </w:p>
    <w:p w:rsidR="00591E70" w:rsidRDefault="00A22CEF" w:rsidP="00591E70">
      <w:pPr>
        <w:tabs>
          <w:tab w:val="left" w:pos="284"/>
        </w:tabs>
        <w:ind w:left="284"/>
        <w:rPr>
          <w:lang w:val="en-US"/>
        </w:rPr>
      </w:pPr>
      <w:r>
        <w:rPr>
          <w:lang w:val="en-US"/>
        </w:rPr>
        <w:t xml:space="preserve">This is the scenario where multiple transmitters are mapped to one </w:t>
      </w:r>
      <w:r w:rsidR="00106D21">
        <w:rPr>
          <w:lang w:val="en-US"/>
        </w:rPr>
        <w:t xml:space="preserve">AAS-ETAC. </w:t>
      </w:r>
      <w:r w:rsidR="00591E70">
        <w:rPr>
          <w:lang w:val="en-US"/>
        </w:rPr>
        <w:t>Since the AAS-ETAC</w:t>
      </w:r>
      <w:r w:rsidR="0062581E">
        <w:rPr>
          <w:lang w:val="en-US"/>
        </w:rPr>
        <w:t xml:space="preserve"> (which is a logical entity)</w:t>
      </w:r>
      <w:r w:rsidR="00591E70">
        <w:rPr>
          <w:lang w:val="en-US"/>
        </w:rPr>
        <w:t xml:space="preserve"> in this case may be distributed across multiple transmitters, there is no means to identify a physical point at which AAS-ETAC power can be measured.</w:t>
      </w:r>
      <w:r w:rsidR="00591E70" w:rsidRPr="00591E70">
        <w:rPr>
          <w:lang w:val="en-US"/>
        </w:rPr>
        <w:t xml:space="preserve"> </w:t>
      </w:r>
      <w:r w:rsidR="00591E70">
        <w:rPr>
          <w:lang w:val="en-US"/>
        </w:rPr>
        <w:t xml:space="preserve">Furthermore, a group of transmitters may share their total power between AAS-ETACs. It is therefore not possible to specify </w:t>
      </w:r>
      <w:r w:rsidR="00591E70" w:rsidRPr="002A40C2">
        <w:rPr>
          <w:lang w:val="en-US"/>
        </w:rPr>
        <w:t>conducted output power requirements on a per transmitter/transceiver level</w:t>
      </w:r>
      <w:r w:rsidR="000E6297">
        <w:rPr>
          <w:lang w:val="en-US"/>
        </w:rPr>
        <w:t xml:space="preserve"> </w:t>
      </w:r>
      <w:r w:rsidR="000E6297">
        <w:t>without scaling</w:t>
      </w:r>
      <w:r w:rsidR="00591E70" w:rsidRPr="002A40C2">
        <w:rPr>
          <w:lang w:val="en-US"/>
        </w:rPr>
        <w:t>.</w:t>
      </w:r>
    </w:p>
    <w:p w:rsidR="00106D21" w:rsidRDefault="00106D21" w:rsidP="0061532A">
      <w:pPr>
        <w:tabs>
          <w:tab w:val="left" w:pos="284"/>
        </w:tabs>
        <w:ind w:left="284"/>
        <w:rPr>
          <w:lang w:val="en-US"/>
        </w:rPr>
      </w:pPr>
      <w:r>
        <w:rPr>
          <w:lang w:val="en-US"/>
        </w:rPr>
        <w:t>These two scenarios</w:t>
      </w:r>
      <w:r w:rsidR="0062581E">
        <w:rPr>
          <w:lang w:val="en-US"/>
        </w:rPr>
        <w:t xml:space="preserve"> are illustrated in figure 4-1.</w:t>
      </w:r>
    </w:p>
    <w:p w:rsidR="009A3B6D" w:rsidRDefault="009A3B6D" w:rsidP="0061532A">
      <w:pPr>
        <w:ind w:left="360"/>
        <w:jc w:val="center"/>
        <w:rPr>
          <w:lang w:val="en-US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388BDF82" wp14:editId="690A4003">
            <wp:extent cx="3496113" cy="2172463"/>
            <wp:effectExtent l="0" t="0" r="9525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791" cy="21735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01B8" w:rsidRDefault="00D701B8" w:rsidP="00D701B8">
      <w:pPr>
        <w:pStyle w:val="BodyText"/>
        <w:jc w:val="center"/>
        <w:rPr>
          <w:lang w:val="en-US"/>
        </w:rPr>
      </w:pPr>
      <w:r>
        <w:rPr>
          <w:lang w:val="en-US"/>
        </w:rPr>
        <w:t>Figure 4-1: Relation between the number of transceivers and the number of AAS-ETACs</w:t>
      </w:r>
    </w:p>
    <w:p w:rsidR="007E6440" w:rsidRDefault="00D06E6C" w:rsidP="007E6440">
      <w:pPr>
        <w:tabs>
          <w:tab w:val="left" w:pos="0"/>
        </w:tabs>
        <w:rPr>
          <w:lang w:val="en-US"/>
        </w:rPr>
      </w:pPr>
      <w:r>
        <w:rPr>
          <w:lang w:val="en-US"/>
        </w:rPr>
        <w:t>The conducted requirement on the BS rated carrier output power needs to be specified in a way to ensure that both the above mentioned scenarios are covered.</w:t>
      </w:r>
      <w:r w:rsidR="0062581E">
        <w:rPr>
          <w:lang w:val="en-US"/>
        </w:rPr>
        <w:t xml:space="preserve"> </w:t>
      </w:r>
      <w:r w:rsidR="008A7D86">
        <w:rPr>
          <w:lang w:val="en-US"/>
        </w:rPr>
        <w:t>Furthermore</w:t>
      </w:r>
      <w:r w:rsidR="0062581E">
        <w:rPr>
          <w:lang w:val="en-US"/>
        </w:rPr>
        <w:t xml:space="preserve">, the </w:t>
      </w:r>
      <w:r w:rsidR="00592815">
        <w:rPr>
          <w:lang w:val="en-US"/>
        </w:rPr>
        <w:t xml:space="preserve">current </w:t>
      </w:r>
      <w:r w:rsidR="0062581E">
        <w:rPr>
          <w:lang w:val="en-US"/>
        </w:rPr>
        <w:t>BS rated carrier out</w:t>
      </w:r>
      <w:r w:rsidR="00260918">
        <w:rPr>
          <w:lang w:val="en-US"/>
        </w:rPr>
        <w:t xml:space="preserve">put power limits </w:t>
      </w:r>
      <w:r w:rsidR="0062581E">
        <w:rPr>
          <w:lang w:val="en-US"/>
        </w:rPr>
        <w:t xml:space="preserve">(which are specified on </w:t>
      </w:r>
      <w:r w:rsidR="00592815">
        <w:rPr>
          <w:lang w:val="en-US"/>
        </w:rPr>
        <w:t>the antenna connector level) need</w:t>
      </w:r>
      <w:r w:rsidR="0062581E">
        <w:rPr>
          <w:lang w:val="en-US"/>
        </w:rPr>
        <w:t xml:space="preserve"> to be scaled by the number of AAS-ETACs to find the limi</w:t>
      </w:r>
      <w:r w:rsidR="00591E70">
        <w:rPr>
          <w:lang w:val="en-US"/>
        </w:rPr>
        <w:t xml:space="preserve">t on </w:t>
      </w:r>
      <w:r w:rsidR="0062581E">
        <w:rPr>
          <w:lang w:val="en-US"/>
        </w:rPr>
        <w:t xml:space="preserve">the rated </w:t>
      </w:r>
      <w:r w:rsidR="0061532A">
        <w:rPr>
          <w:lang w:val="en-US"/>
        </w:rPr>
        <w:t>carrier</w:t>
      </w:r>
      <w:r w:rsidR="0062581E">
        <w:rPr>
          <w:lang w:val="en-US"/>
        </w:rPr>
        <w:t xml:space="preserve"> output power</w:t>
      </w:r>
      <w:r w:rsidR="0061532A">
        <w:rPr>
          <w:lang w:val="en-US"/>
        </w:rPr>
        <w:t xml:space="preserve"> for an AAS BS</w:t>
      </w:r>
      <w:r w:rsidR="00592815">
        <w:rPr>
          <w:lang w:val="en-US"/>
        </w:rPr>
        <w:t>.</w:t>
      </w:r>
    </w:p>
    <w:p w:rsidR="000E6297" w:rsidRDefault="00592815" w:rsidP="007E6440">
      <w:pPr>
        <w:tabs>
          <w:tab w:val="left" w:pos="0"/>
        </w:tabs>
        <w:rPr>
          <w:lang w:val="en-US"/>
        </w:rPr>
      </w:pPr>
      <w:r>
        <w:rPr>
          <w:lang w:val="en-US"/>
        </w:rPr>
        <w:t>It is important to note that stating the declared rated carrier output power as a rated total output power</w:t>
      </w:r>
      <w:r w:rsidR="008A7D86">
        <w:rPr>
          <w:lang w:val="en-US"/>
        </w:rPr>
        <w:t xml:space="preserve"> (from all transceivers)</w:t>
      </w:r>
      <w:r>
        <w:rPr>
          <w:lang w:val="en-US"/>
        </w:rPr>
        <w:t xml:space="preserve"> in no way restricts implementation freedom; power can be distributed between transmitters and between AAS-ETAC in any desired manner.</w:t>
      </w:r>
      <w:r w:rsidR="000E6297">
        <w:rPr>
          <w:lang w:val="en-US"/>
        </w:rPr>
        <w:t xml:space="preserve"> The contribution in [4] discusses these issues in more detail</w:t>
      </w:r>
      <w:r w:rsidR="00B42EDE">
        <w:rPr>
          <w:lang w:val="en-US"/>
        </w:rPr>
        <w:t>.</w:t>
      </w:r>
    </w:p>
    <w:p w:rsidR="00592815" w:rsidRPr="00123AE1" w:rsidRDefault="00592815" w:rsidP="00592815">
      <w:pPr>
        <w:rPr>
          <w:i/>
          <w:color w:val="000000" w:themeColor="text1"/>
          <w:lang w:val="en-US"/>
        </w:rPr>
      </w:pPr>
      <w:r w:rsidRPr="00123AE1">
        <w:rPr>
          <w:i/>
          <w:color w:val="000000" w:themeColor="text1"/>
          <w:lang w:val="en-US"/>
        </w:rPr>
        <w:t xml:space="preserve">Proposal </w:t>
      </w:r>
      <w:r w:rsidR="007E6440" w:rsidRPr="00123AE1">
        <w:rPr>
          <w:i/>
          <w:color w:val="000000" w:themeColor="text1"/>
          <w:lang w:val="en-US"/>
        </w:rPr>
        <w:t>1</w:t>
      </w:r>
      <w:r w:rsidRPr="00123AE1">
        <w:rPr>
          <w:i/>
          <w:color w:val="000000" w:themeColor="text1"/>
          <w:lang w:val="en-US"/>
        </w:rPr>
        <w:t>: The limit on AAS declared rated carrier output power for local area and medium range should be the current 37.104 limit increase with 10log(#AAS-ETAC).</w:t>
      </w:r>
    </w:p>
    <w:p w:rsidR="005E0A55" w:rsidRPr="0061532A" w:rsidRDefault="007E6440" w:rsidP="005E0A55">
      <w:pPr>
        <w:rPr>
          <w:b/>
          <w:sz w:val="24"/>
          <w:lang w:val="en-US"/>
        </w:rPr>
      </w:pPr>
      <w:r>
        <w:rPr>
          <w:b/>
          <w:sz w:val="24"/>
          <w:lang w:val="en-US"/>
        </w:rPr>
        <w:t>Requirements on the</w:t>
      </w:r>
      <w:r w:rsidRPr="0061532A">
        <w:rPr>
          <w:b/>
          <w:sz w:val="24"/>
          <w:lang w:val="en-US"/>
        </w:rPr>
        <w:t xml:space="preserve"> </w:t>
      </w:r>
      <w:r w:rsidR="00354857" w:rsidRPr="0061532A">
        <w:rPr>
          <w:b/>
          <w:sz w:val="24"/>
          <w:lang w:val="en-US"/>
        </w:rPr>
        <w:t>AAS BS conducted output power:</w:t>
      </w:r>
    </w:p>
    <w:p w:rsidR="00FE1ABF" w:rsidRDefault="00354857" w:rsidP="00FE1ABF">
      <w:pPr>
        <w:rPr>
          <w:lang w:val="en-US"/>
        </w:rPr>
      </w:pPr>
      <w:r>
        <w:rPr>
          <w:lang w:val="en-US"/>
        </w:rPr>
        <w:t xml:space="preserve">In order to </w:t>
      </w:r>
      <w:r w:rsidR="007E6440">
        <w:rPr>
          <w:lang w:val="en-US"/>
        </w:rPr>
        <w:t>specify</w:t>
      </w:r>
      <w:r>
        <w:rPr>
          <w:lang w:val="en-US"/>
        </w:rPr>
        <w:t xml:space="preserve"> the conducted output power requirement, </w:t>
      </w:r>
      <w:r w:rsidR="00FE1ABF">
        <w:rPr>
          <w:lang w:val="en-US"/>
        </w:rPr>
        <w:t xml:space="preserve">the principles adopted for the emission requirements can be applied as well. The requirement can be </w:t>
      </w:r>
      <w:r w:rsidR="00B42EDE">
        <w:rPr>
          <w:lang w:val="en-US"/>
        </w:rPr>
        <w:t>specified</w:t>
      </w:r>
      <w:r w:rsidR="00FE1ABF">
        <w:rPr>
          <w:lang w:val="en-US"/>
        </w:rPr>
        <w:t xml:space="preserve"> </w:t>
      </w:r>
      <w:r w:rsidR="00B42EDE">
        <w:rPr>
          <w:lang w:val="en-US"/>
        </w:rPr>
        <w:t>by</w:t>
      </w:r>
      <w:r w:rsidR="00FE1ABF">
        <w:rPr>
          <w:lang w:val="en-US"/>
        </w:rPr>
        <w:t xml:space="preserve"> either measuring the output power of each transmitter and making a summation, or subjecting each transmitter to an individual requirement equal to (Declared rated </w:t>
      </w:r>
      <w:r w:rsidR="0061532A">
        <w:rPr>
          <w:lang w:val="en-US"/>
        </w:rPr>
        <w:t xml:space="preserve">carrier </w:t>
      </w:r>
      <w:r w:rsidR="00FE1ABF">
        <w:rPr>
          <w:lang w:val="en-US"/>
        </w:rPr>
        <w:t>power – 10log(#</w:t>
      </w:r>
      <w:r w:rsidR="00561BAF">
        <w:rPr>
          <w:lang w:val="en-US"/>
        </w:rPr>
        <w:t>transceivers</w:t>
      </w:r>
      <w:r w:rsidR="00FE1ABF">
        <w:rPr>
          <w:lang w:val="en-US"/>
        </w:rPr>
        <w:t>) )</w:t>
      </w:r>
      <w:r w:rsidR="007E6440">
        <w:rPr>
          <w:lang w:val="en-US"/>
        </w:rPr>
        <w:t>. From a requirement specification perspective, it would make sense to allow compliance to any of these two options.</w:t>
      </w:r>
    </w:p>
    <w:p w:rsidR="00354857" w:rsidRPr="00123AE1" w:rsidRDefault="00354857" w:rsidP="00354857">
      <w:pPr>
        <w:rPr>
          <w:i/>
          <w:color w:val="000000" w:themeColor="text1"/>
          <w:lang w:val="en-US"/>
        </w:rPr>
      </w:pPr>
      <w:r w:rsidRPr="00123AE1">
        <w:rPr>
          <w:i/>
          <w:color w:val="000000" w:themeColor="text1"/>
          <w:lang w:val="en-US"/>
        </w:rPr>
        <w:t xml:space="preserve">Proposal </w:t>
      </w:r>
      <w:r w:rsidR="007E6440" w:rsidRPr="00123AE1">
        <w:rPr>
          <w:i/>
          <w:color w:val="000000" w:themeColor="text1"/>
          <w:lang w:val="en-US"/>
        </w:rPr>
        <w:t>2</w:t>
      </w:r>
      <w:r w:rsidRPr="00123AE1">
        <w:rPr>
          <w:i/>
          <w:color w:val="000000" w:themeColor="text1"/>
          <w:lang w:val="en-US"/>
        </w:rPr>
        <w:t xml:space="preserve">: The requirement should </w:t>
      </w:r>
      <w:r w:rsidR="007E6440" w:rsidRPr="00123AE1">
        <w:rPr>
          <w:i/>
          <w:color w:val="000000" w:themeColor="text1"/>
          <w:lang w:val="en-US"/>
        </w:rPr>
        <w:t xml:space="preserve">allow compliance to </w:t>
      </w:r>
      <w:r w:rsidRPr="00123AE1">
        <w:rPr>
          <w:i/>
          <w:color w:val="000000" w:themeColor="text1"/>
          <w:lang w:val="en-US"/>
        </w:rPr>
        <w:t>either</w:t>
      </w:r>
      <w:r w:rsidR="00123AE1">
        <w:rPr>
          <w:i/>
          <w:color w:val="000000" w:themeColor="text1"/>
          <w:lang w:val="en-US"/>
        </w:rPr>
        <w:t xml:space="preserve"> of the following two options</w:t>
      </w:r>
      <w:r w:rsidRPr="00123AE1">
        <w:rPr>
          <w:i/>
          <w:color w:val="000000" w:themeColor="text1"/>
          <w:lang w:val="en-US"/>
        </w:rPr>
        <w:t>:</w:t>
      </w:r>
    </w:p>
    <w:p w:rsidR="00354857" w:rsidRPr="00123AE1" w:rsidRDefault="00354857" w:rsidP="00354857">
      <w:pPr>
        <w:numPr>
          <w:ilvl w:val="0"/>
          <w:numId w:val="12"/>
        </w:numPr>
        <w:rPr>
          <w:i/>
          <w:color w:val="000000" w:themeColor="text1"/>
          <w:lang w:val="en-US"/>
        </w:rPr>
      </w:pPr>
      <w:r w:rsidRPr="00123AE1">
        <w:rPr>
          <w:i/>
          <w:color w:val="000000" w:themeColor="text1"/>
          <w:lang w:val="en-US"/>
        </w:rPr>
        <w:t>Sum of measured power at each transceiver is within +-2 (or 2.5 in extreme conditions) dB of the declared carrier output power</w:t>
      </w:r>
    </w:p>
    <w:p w:rsidR="00354857" w:rsidRPr="00123AE1" w:rsidRDefault="00354857" w:rsidP="00354857">
      <w:pPr>
        <w:numPr>
          <w:ilvl w:val="0"/>
          <w:numId w:val="12"/>
        </w:numPr>
        <w:rPr>
          <w:i/>
          <w:color w:val="000000" w:themeColor="text1"/>
          <w:lang w:val="en-US"/>
        </w:rPr>
      </w:pPr>
      <w:r w:rsidRPr="00123AE1">
        <w:rPr>
          <w:i/>
          <w:color w:val="000000" w:themeColor="text1"/>
          <w:lang w:val="en-US"/>
        </w:rPr>
        <w:t xml:space="preserve">Measured power at each </w:t>
      </w:r>
      <w:r w:rsidR="00FA31EC" w:rsidRPr="00123AE1">
        <w:rPr>
          <w:i/>
          <w:color w:val="000000" w:themeColor="text1"/>
          <w:lang w:val="en-US"/>
        </w:rPr>
        <w:t xml:space="preserve">transceiver </w:t>
      </w:r>
      <w:r w:rsidRPr="00123AE1">
        <w:rPr>
          <w:i/>
          <w:color w:val="000000" w:themeColor="text1"/>
          <w:lang w:val="en-US"/>
        </w:rPr>
        <w:t>is within +-2 (or 2.5) dB of the declared carrier output power – 10log(#</w:t>
      </w:r>
      <w:r w:rsidR="008A7D86" w:rsidRPr="00123AE1">
        <w:rPr>
          <w:i/>
          <w:color w:val="000000" w:themeColor="text1"/>
          <w:lang w:val="en-US"/>
        </w:rPr>
        <w:t>transceivers</w:t>
      </w:r>
      <w:r w:rsidRPr="00123AE1">
        <w:rPr>
          <w:i/>
          <w:color w:val="000000" w:themeColor="text1"/>
          <w:lang w:val="en-US"/>
        </w:rPr>
        <w:t>)</w:t>
      </w:r>
    </w:p>
    <w:p w:rsidR="00C01F33" w:rsidRPr="00F6302A" w:rsidRDefault="00C01F33" w:rsidP="00C01F33">
      <w:pPr>
        <w:pStyle w:val="Heading1"/>
        <w:rPr>
          <w:lang w:val="en-US"/>
        </w:rPr>
      </w:pPr>
      <w:r w:rsidRPr="00F6302A">
        <w:rPr>
          <w:lang w:val="en-US"/>
        </w:rPr>
        <w:t>Conclusion</w:t>
      </w:r>
    </w:p>
    <w:p w:rsidR="00123AE1" w:rsidRPr="00123AE1" w:rsidRDefault="00123AE1" w:rsidP="00123AE1">
      <w:pPr>
        <w:rPr>
          <w:i/>
          <w:color w:val="000000" w:themeColor="text1"/>
          <w:lang w:val="en-US"/>
        </w:rPr>
      </w:pPr>
      <w:bookmarkStart w:id="1" w:name="_In-sequence_SDU_delivery"/>
      <w:bookmarkEnd w:id="1"/>
      <w:r w:rsidRPr="00123AE1">
        <w:rPr>
          <w:b/>
          <w:i/>
          <w:color w:val="000000" w:themeColor="text1"/>
          <w:lang w:val="en-US"/>
        </w:rPr>
        <w:t xml:space="preserve">Proposal 1: </w:t>
      </w:r>
      <w:r w:rsidRPr="00123AE1">
        <w:rPr>
          <w:i/>
          <w:color w:val="000000" w:themeColor="text1"/>
          <w:lang w:val="en-US"/>
        </w:rPr>
        <w:t>The limit on AAS declared rated carrier output power for local area and medium range should be the current 37.104 limit increase with 10log(#AAS-ETAC).</w:t>
      </w:r>
    </w:p>
    <w:p w:rsidR="00123AE1" w:rsidRPr="00123AE1" w:rsidRDefault="00123AE1" w:rsidP="00123AE1">
      <w:pPr>
        <w:rPr>
          <w:i/>
          <w:color w:val="000000" w:themeColor="text1"/>
          <w:lang w:val="en-US"/>
        </w:rPr>
      </w:pPr>
      <w:r w:rsidRPr="00123AE1">
        <w:rPr>
          <w:b/>
          <w:i/>
          <w:color w:val="000000" w:themeColor="text1"/>
          <w:lang w:val="en-US"/>
        </w:rPr>
        <w:t xml:space="preserve">Proposal 2: </w:t>
      </w:r>
      <w:r w:rsidRPr="00123AE1">
        <w:rPr>
          <w:i/>
          <w:color w:val="000000" w:themeColor="text1"/>
          <w:lang w:val="en-US"/>
        </w:rPr>
        <w:t xml:space="preserve">The requirement should allow compliance </w:t>
      </w:r>
      <w:r>
        <w:rPr>
          <w:i/>
          <w:color w:val="000000" w:themeColor="text1"/>
          <w:lang w:val="en-US"/>
        </w:rPr>
        <w:t xml:space="preserve">to </w:t>
      </w:r>
      <w:r w:rsidRPr="00123AE1">
        <w:rPr>
          <w:i/>
          <w:color w:val="000000" w:themeColor="text1"/>
          <w:lang w:val="en-US"/>
        </w:rPr>
        <w:t>either</w:t>
      </w:r>
      <w:r>
        <w:rPr>
          <w:i/>
          <w:color w:val="000000" w:themeColor="text1"/>
          <w:lang w:val="en-US"/>
        </w:rPr>
        <w:t xml:space="preserve"> of the following two options</w:t>
      </w:r>
      <w:r w:rsidRPr="00123AE1">
        <w:rPr>
          <w:i/>
          <w:color w:val="000000" w:themeColor="text1"/>
          <w:lang w:val="en-US"/>
        </w:rPr>
        <w:t>:</w:t>
      </w:r>
    </w:p>
    <w:p w:rsidR="00123AE1" w:rsidRPr="00123AE1" w:rsidRDefault="00123AE1" w:rsidP="00123AE1">
      <w:pPr>
        <w:numPr>
          <w:ilvl w:val="0"/>
          <w:numId w:val="12"/>
        </w:numPr>
        <w:rPr>
          <w:i/>
          <w:color w:val="000000" w:themeColor="text1"/>
          <w:lang w:val="en-US"/>
        </w:rPr>
      </w:pPr>
      <w:r w:rsidRPr="00123AE1">
        <w:rPr>
          <w:i/>
          <w:color w:val="000000" w:themeColor="text1"/>
          <w:lang w:val="en-US"/>
        </w:rPr>
        <w:t>Sum of measured power at each transceiver is within +-2 (or 2.5 in extreme conditions) dB of the declared carrier output power</w:t>
      </w:r>
    </w:p>
    <w:p w:rsidR="00123AE1" w:rsidRPr="00123AE1" w:rsidRDefault="00123AE1" w:rsidP="00123AE1">
      <w:pPr>
        <w:numPr>
          <w:ilvl w:val="0"/>
          <w:numId w:val="12"/>
        </w:numPr>
        <w:rPr>
          <w:i/>
          <w:color w:val="000000" w:themeColor="text1"/>
          <w:lang w:val="en-US"/>
        </w:rPr>
      </w:pPr>
      <w:r w:rsidRPr="00123AE1">
        <w:rPr>
          <w:i/>
          <w:color w:val="000000" w:themeColor="text1"/>
          <w:lang w:val="en-US"/>
        </w:rPr>
        <w:t>Measured power at each transceiver is within +-2 (or 2.5) dB of the declared carrier output power – 10log(#transceivers)</w:t>
      </w:r>
    </w:p>
    <w:p w:rsidR="00F507D1" w:rsidRPr="00F6302A" w:rsidRDefault="00F507D1" w:rsidP="00F507D1">
      <w:pPr>
        <w:pStyle w:val="Heading1"/>
        <w:rPr>
          <w:lang w:val="en-US"/>
        </w:rPr>
      </w:pPr>
      <w:r w:rsidRPr="00F6302A">
        <w:rPr>
          <w:lang w:val="en-US"/>
        </w:rPr>
        <w:t>References</w:t>
      </w:r>
    </w:p>
    <w:p w:rsidR="00D7022B" w:rsidRPr="00D40260" w:rsidRDefault="00B42EDE" w:rsidP="00D7022B">
      <w:pPr>
        <w:pStyle w:val="Reference"/>
        <w:rPr>
          <w:rFonts w:cs="Arial"/>
          <w:lang w:val="en-US"/>
        </w:rPr>
      </w:pPr>
      <w:bookmarkStart w:id="2" w:name="_Ref174151459"/>
      <w:bookmarkStart w:id="3" w:name="_Ref189809556"/>
      <w:r w:rsidRPr="00D40260">
        <w:rPr>
          <w:rFonts w:cs="Arial"/>
          <w:lang w:val="en-US"/>
        </w:rPr>
        <w:t xml:space="preserve">R4-152471, </w:t>
      </w:r>
      <w:r w:rsidR="00D7022B" w:rsidRPr="00D40260">
        <w:rPr>
          <w:rFonts w:cs="Arial"/>
          <w:lang w:val="en-US"/>
        </w:rPr>
        <w:t>“Proposal for definition of “MIMO/</w:t>
      </w:r>
      <w:proofErr w:type="spellStart"/>
      <w:r w:rsidR="00D7022B" w:rsidRPr="00D40260">
        <w:rPr>
          <w:rFonts w:cs="Arial"/>
          <w:lang w:val="en-US"/>
        </w:rPr>
        <w:t>Tx</w:t>
      </w:r>
      <w:proofErr w:type="spellEnd"/>
      <w:r w:rsidR="00D7022B" w:rsidRPr="00D40260">
        <w:rPr>
          <w:rFonts w:cs="Arial"/>
          <w:lang w:val="en-US"/>
        </w:rPr>
        <w:t xml:space="preserve"> Diversity”,</w:t>
      </w:r>
      <w:r w:rsidRPr="00D40260">
        <w:rPr>
          <w:rFonts w:cs="Arial"/>
          <w:lang w:val="en-US"/>
        </w:rPr>
        <w:t xml:space="preserve"> (Huawei, NEC)</w:t>
      </w:r>
      <w:bookmarkEnd w:id="2"/>
      <w:bookmarkEnd w:id="3"/>
    </w:p>
    <w:p w:rsidR="00D7022B" w:rsidRPr="00D40260" w:rsidRDefault="000E6297" w:rsidP="00D7022B">
      <w:pPr>
        <w:pStyle w:val="Reference"/>
        <w:rPr>
          <w:rFonts w:cs="Arial"/>
          <w:lang w:val="en-US"/>
        </w:rPr>
      </w:pPr>
      <w:r w:rsidRPr="00D40260">
        <w:rPr>
          <w:rFonts w:cs="Arial"/>
        </w:rPr>
        <w:t>R4-75AH-AAS-0017,</w:t>
      </w:r>
      <w:r w:rsidR="00D7022B" w:rsidRPr="00D40260">
        <w:rPr>
          <w:rFonts w:cs="Arial"/>
          <w:lang w:val="en-US"/>
        </w:rPr>
        <w:t xml:space="preserve"> “Ambiguities to be resolved in counting the number of AAS-ETAC”,</w:t>
      </w:r>
      <w:r w:rsidRPr="00D40260">
        <w:rPr>
          <w:rFonts w:cs="Arial"/>
          <w:lang w:val="en-US"/>
        </w:rPr>
        <w:t xml:space="preserve"> (Ericsson)</w:t>
      </w:r>
    </w:p>
    <w:p w:rsidR="00D7022B" w:rsidRPr="00D40260" w:rsidRDefault="000E6297" w:rsidP="00D7022B">
      <w:pPr>
        <w:pStyle w:val="Reference"/>
        <w:rPr>
          <w:rFonts w:cs="Arial"/>
          <w:lang w:val="en-US"/>
        </w:rPr>
      </w:pPr>
      <w:r w:rsidRPr="00D40260">
        <w:rPr>
          <w:rFonts w:cs="Arial"/>
        </w:rPr>
        <w:lastRenderedPageBreak/>
        <w:t>R4-75AH-AAS-0021</w:t>
      </w:r>
      <w:r w:rsidRPr="00D40260">
        <w:rPr>
          <w:rFonts w:cs="Arial"/>
          <w:lang w:val="en-US"/>
        </w:rPr>
        <w:t xml:space="preserve">, </w:t>
      </w:r>
      <w:r w:rsidR="00D7022B" w:rsidRPr="00D40260">
        <w:rPr>
          <w:rFonts w:cs="Arial"/>
          <w:lang w:val="en-US"/>
        </w:rPr>
        <w:t>“Setting the emissions requirement for AAS”,</w:t>
      </w:r>
      <w:r w:rsidRPr="00D40260">
        <w:rPr>
          <w:rFonts w:cs="Arial"/>
          <w:lang w:val="en-US"/>
        </w:rPr>
        <w:t xml:space="preserve"> (Ericsson)</w:t>
      </w:r>
    </w:p>
    <w:p w:rsidR="003A7EF3" w:rsidRPr="00D40260" w:rsidRDefault="000E6297" w:rsidP="00311702">
      <w:pPr>
        <w:pStyle w:val="Reference"/>
        <w:rPr>
          <w:rFonts w:cs="Arial"/>
          <w:lang w:val="en-US"/>
        </w:rPr>
      </w:pPr>
      <w:r w:rsidRPr="00D40260">
        <w:rPr>
          <w:rFonts w:cs="Arial"/>
          <w:lang w:val="en-US"/>
        </w:rPr>
        <w:t>R4-154727, “Specification of emissions limits based on AAS-ETAC”, (</w:t>
      </w:r>
      <w:r w:rsidRPr="00D40260">
        <w:rPr>
          <w:rFonts w:cs="Arial"/>
          <w:lang w:val="en-US"/>
        </w:rPr>
        <w:tab/>
        <w:t>Ericsson)</w:t>
      </w:r>
    </w:p>
    <w:sectPr w:rsidR="003A7EF3" w:rsidRPr="00D40260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CE9" w:rsidRDefault="00460CE9">
      <w:r>
        <w:separator/>
      </w:r>
    </w:p>
  </w:endnote>
  <w:endnote w:type="continuationSeparator" w:id="0">
    <w:p w:rsidR="00460CE9" w:rsidRDefault="0046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026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4026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CE9" w:rsidRDefault="00460CE9">
      <w:r>
        <w:separator/>
      </w:r>
    </w:p>
  </w:footnote>
  <w:footnote w:type="continuationSeparator" w:id="0">
    <w:p w:rsidR="00460CE9" w:rsidRDefault="00460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EE4AD8"/>
    <w:multiLevelType w:val="hybridMultilevel"/>
    <w:tmpl w:val="39085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9000E"/>
    <w:multiLevelType w:val="hybridMultilevel"/>
    <w:tmpl w:val="1CF4377E"/>
    <w:lvl w:ilvl="0" w:tplc="041D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74462"/>
    <w:multiLevelType w:val="hybridMultilevel"/>
    <w:tmpl w:val="280CA5B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9D745B"/>
    <w:multiLevelType w:val="hybridMultilevel"/>
    <w:tmpl w:val="346099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CC2A3F"/>
    <w:multiLevelType w:val="hybridMultilevel"/>
    <w:tmpl w:val="354C0890"/>
    <w:lvl w:ilvl="0" w:tplc="09EC1E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2"/>
  </w:num>
  <w:num w:numId="8">
    <w:abstractNumId w:val="7"/>
  </w:num>
  <w:num w:numId="9">
    <w:abstractNumId w:val="5"/>
  </w:num>
  <w:num w:numId="10">
    <w:abstractNumId w:val="4"/>
  </w:num>
  <w:num w:numId="11">
    <w:abstractNumId w:val="13"/>
  </w:num>
  <w:num w:numId="12">
    <w:abstractNumId w:val="3"/>
  </w:num>
  <w:num w:numId="13">
    <w:abstractNumId w:val="14"/>
  </w:num>
  <w:num w:numId="14">
    <w:abstractNumId w:val="0"/>
  </w:num>
  <w:num w:numId="15">
    <w:abstractNumId w:val="1"/>
  </w:num>
  <w:num w:numId="16">
    <w:abstractNumId w:val="0"/>
  </w:num>
  <w:num w:numId="1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F7C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42B"/>
    <w:rsid w:val="000C165A"/>
    <w:rsid w:val="000C2E19"/>
    <w:rsid w:val="000D0D07"/>
    <w:rsid w:val="000D4797"/>
    <w:rsid w:val="000E0527"/>
    <w:rsid w:val="000E1E92"/>
    <w:rsid w:val="000E6297"/>
    <w:rsid w:val="000F06D6"/>
    <w:rsid w:val="000F0EB1"/>
    <w:rsid w:val="000F1106"/>
    <w:rsid w:val="000F3BE9"/>
    <w:rsid w:val="000F3F6C"/>
    <w:rsid w:val="000F6DF3"/>
    <w:rsid w:val="001005FF"/>
    <w:rsid w:val="00100D5F"/>
    <w:rsid w:val="001062FB"/>
    <w:rsid w:val="001063E6"/>
    <w:rsid w:val="00106D21"/>
    <w:rsid w:val="00113CF4"/>
    <w:rsid w:val="001153EA"/>
    <w:rsid w:val="00115643"/>
    <w:rsid w:val="00116765"/>
    <w:rsid w:val="001219F5"/>
    <w:rsid w:val="00121A20"/>
    <w:rsid w:val="0012377F"/>
    <w:rsid w:val="00123AE1"/>
    <w:rsid w:val="00124314"/>
    <w:rsid w:val="001250DA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484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7C3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0918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5BE3"/>
    <w:rsid w:val="00286ACD"/>
    <w:rsid w:val="00287838"/>
    <w:rsid w:val="002907B5"/>
    <w:rsid w:val="00292EB7"/>
    <w:rsid w:val="002948C5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4A8F"/>
    <w:rsid w:val="002F515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46C"/>
    <w:rsid w:val="00346DB5"/>
    <w:rsid w:val="003477B1"/>
    <w:rsid w:val="00354857"/>
    <w:rsid w:val="00357380"/>
    <w:rsid w:val="003602D9"/>
    <w:rsid w:val="003604CE"/>
    <w:rsid w:val="00362188"/>
    <w:rsid w:val="00367351"/>
    <w:rsid w:val="00370E47"/>
    <w:rsid w:val="003742AC"/>
    <w:rsid w:val="00377CE1"/>
    <w:rsid w:val="00385BF0"/>
    <w:rsid w:val="00386FA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C20"/>
    <w:rsid w:val="004242F4"/>
    <w:rsid w:val="00427248"/>
    <w:rsid w:val="004368AF"/>
    <w:rsid w:val="00437447"/>
    <w:rsid w:val="00441A92"/>
    <w:rsid w:val="00444F56"/>
    <w:rsid w:val="00446488"/>
    <w:rsid w:val="004517AA"/>
    <w:rsid w:val="00452CAC"/>
    <w:rsid w:val="0045386F"/>
    <w:rsid w:val="00457565"/>
    <w:rsid w:val="00457B71"/>
    <w:rsid w:val="00460CE9"/>
    <w:rsid w:val="004669E2"/>
    <w:rsid w:val="00467F46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1D9E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F63"/>
    <w:rsid w:val="00534B59"/>
    <w:rsid w:val="00536759"/>
    <w:rsid w:val="00537C62"/>
    <w:rsid w:val="00546970"/>
    <w:rsid w:val="00554E19"/>
    <w:rsid w:val="0056121F"/>
    <w:rsid w:val="00561BAF"/>
    <w:rsid w:val="00572505"/>
    <w:rsid w:val="00582809"/>
    <w:rsid w:val="0058798C"/>
    <w:rsid w:val="005900FA"/>
    <w:rsid w:val="00591E70"/>
    <w:rsid w:val="00592815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0A55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1532A"/>
    <w:rsid w:val="00620A71"/>
    <w:rsid w:val="00620D80"/>
    <w:rsid w:val="006234A6"/>
    <w:rsid w:val="0062581E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DA8"/>
    <w:rsid w:val="00667EE7"/>
    <w:rsid w:val="00670922"/>
    <w:rsid w:val="00670BE1"/>
    <w:rsid w:val="0067218F"/>
    <w:rsid w:val="006741F2"/>
    <w:rsid w:val="00674CC3"/>
    <w:rsid w:val="00675C72"/>
    <w:rsid w:val="00676A6C"/>
    <w:rsid w:val="006771F9"/>
    <w:rsid w:val="006776D7"/>
    <w:rsid w:val="00681003"/>
    <w:rsid w:val="006817C9"/>
    <w:rsid w:val="00683ECE"/>
    <w:rsid w:val="0069489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5C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9F6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0C5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AEA"/>
    <w:rsid w:val="007B3D2D"/>
    <w:rsid w:val="007B50AE"/>
    <w:rsid w:val="007B51DF"/>
    <w:rsid w:val="007C05DD"/>
    <w:rsid w:val="007C1342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93D"/>
    <w:rsid w:val="007E6440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D86"/>
    <w:rsid w:val="008A7F7C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466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8CC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6D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301"/>
    <w:rsid w:val="00A17F63"/>
    <w:rsid w:val="00A2193B"/>
    <w:rsid w:val="00A22CEF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4C5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BEB"/>
    <w:rsid w:val="00B20256"/>
    <w:rsid w:val="00B20D09"/>
    <w:rsid w:val="00B2763F"/>
    <w:rsid w:val="00B27AAC"/>
    <w:rsid w:val="00B30929"/>
    <w:rsid w:val="00B372AA"/>
    <w:rsid w:val="00B40445"/>
    <w:rsid w:val="00B41888"/>
    <w:rsid w:val="00B42EDE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9744D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BD2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0781C"/>
    <w:rsid w:val="00C10478"/>
    <w:rsid w:val="00C12107"/>
    <w:rsid w:val="00C14D4B"/>
    <w:rsid w:val="00C154BB"/>
    <w:rsid w:val="00C15ACF"/>
    <w:rsid w:val="00C279B5"/>
    <w:rsid w:val="00C27C45"/>
    <w:rsid w:val="00C3719D"/>
    <w:rsid w:val="00C54995"/>
    <w:rsid w:val="00C54D41"/>
    <w:rsid w:val="00C60783"/>
    <w:rsid w:val="00C64672"/>
    <w:rsid w:val="00C673BF"/>
    <w:rsid w:val="00C70697"/>
    <w:rsid w:val="00C72EF4"/>
    <w:rsid w:val="00C74A35"/>
    <w:rsid w:val="00C75D2F"/>
    <w:rsid w:val="00C767BE"/>
    <w:rsid w:val="00C76E3C"/>
    <w:rsid w:val="00C81568"/>
    <w:rsid w:val="00C878D0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3B1F"/>
    <w:rsid w:val="00CF3BF6"/>
    <w:rsid w:val="00CF625B"/>
    <w:rsid w:val="00CF687E"/>
    <w:rsid w:val="00CF7BC0"/>
    <w:rsid w:val="00D0349B"/>
    <w:rsid w:val="00D06E6C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260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1B8"/>
    <w:rsid w:val="00D7022B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5BBE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37F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F63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405"/>
    <w:rsid w:val="00E71BAC"/>
    <w:rsid w:val="00E72EFC"/>
    <w:rsid w:val="00E758EC"/>
    <w:rsid w:val="00E77FF6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C9D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42B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D66"/>
    <w:rsid w:val="00F8456C"/>
    <w:rsid w:val="00F859D8"/>
    <w:rsid w:val="00F868F5"/>
    <w:rsid w:val="00F9056A"/>
    <w:rsid w:val="00F90F8D"/>
    <w:rsid w:val="00F92782"/>
    <w:rsid w:val="00F93AA9"/>
    <w:rsid w:val="00F950D7"/>
    <w:rsid w:val="00F96985"/>
    <w:rsid w:val="00F97838"/>
    <w:rsid w:val="00FA2BB3"/>
    <w:rsid w:val="00FA31EC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1ABF"/>
    <w:rsid w:val="00FE2365"/>
    <w:rsid w:val="00FE4C7B"/>
    <w:rsid w:val="00FE6D9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48C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648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648C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"/>
    <w:basedOn w:val="Heading2"/>
    <w:next w:val="Normal"/>
    <w:link w:val="Heading3Char1"/>
    <w:qFormat/>
    <w:rsid w:val="009648C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648C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648C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648C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648C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648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648C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648C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648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648C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648CC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648CC"/>
    <w:pPr>
      <w:ind w:left="1701" w:hanging="1701"/>
    </w:pPr>
  </w:style>
  <w:style w:type="paragraph" w:styleId="TOC4">
    <w:name w:val="toc 4"/>
    <w:basedOn w:val="TOC3"/>
    <w:semiHidden/>
    <w:rsid w:val="009648CC"/>
    <w:pPr>
      <w:ind w:left="1418" w:hanging="1418"/>
    </w:pPr>
  </w:style>
  <w:style w:type="paragraph" w:styleId="TOC3">
    <w:name w:val="toc 3"/>
    <w:basedOn w:val="TOC2"/>
    <w:semiHidden/>
    <w:rsid w:val="009648CC"/>
    <w:pPr>
      <w:ind w:left="1134" w:hanging="1134"/>
    </w:pPr>
  </w:style>
  <w:style w:type="paragraph" w:styleId="TOC2">
    <w:name w:val="toc 2"/>
    <w:basedOn w:val="TOC1"/>
    <w:semiHidden/>
    <w:rsid w:val="009648C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648CC"/>
    <w:pPr>
      <w:ind w:left="284"/>
    </w:pPr>
  </w:style>
  <w:style w:type="paragraph" w:styleId="Index1">
    <w:name w:val="index 1"/>
    <w:basedOn w:val="Normal"/>
    <w:semiHidden/>
    <w:rsid w:val="009648CC"/>
    <w:pPr>
      <w:keepLines/>
      <w:spacing w:after="0"/>
    </w:pPr>
  </w:style>
  <w:style w:type="paragraph" w:styleId="DocumentMap">
    <w:name w:val="Document Map"/>
    <w:basedOn w:val="Normal"/>
    <w:semiHidden/>
    <w:rsid w:val="009648C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648CC"/>
    <w:pPr>
      <w:ind w:left="851"/>
    </w:pPr>
  </w:style>
  <w:style w:type="paragraph" w:styleId="ListNumber">
    <w:name w:val="List Number"/>
    <w:basedOn w:val="List"/>
    <w:rsid w:val="009648CC"/>
  </w:style>
  <w:style w:type="paragraph" w:styleId="List">
    <w:name w:val="List"/>
    <w:basedOn w:val="Normal"/>
    <w:rsid w:val="009648CC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9648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648C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648C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648C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648CC"/>
    <w:pPr>
      <w:ind w:left="1418" w:hanging="1418"/>
    </w:pPr>
  </w:style>
  <w:style w:type="paragraph" w:styleId="TOC6">
    <w:name w:val="toc 6"/>
    <w:basedOn w:val="TOC5"/>
    <w:next w:val="Normal"/>
    <w:semiHidden/>
    <w:rsid w:val="009648CC"/>
    <w:pPr>
      <w:ind w:left="1985" w:hanging="1985"/>
    </w:pPr>
  </w:style>
  <w:style w:type="paragraph" w:styleId="TOC7">
    <w:name w:val="toc 7"/>
    <w:basedOn w:val="TOC6"/>
    <w:next w:val="Normal"/>
    <w:semiHidden/>
    <w:rsid w:val="009648CC"/>
    <w:pPr>
      <w:ind w:left="2268" w:hanging="2268"/>
    </w:pPr>
  </w:style>
  <w:style w:type="paragraph" w:styleId="ListBullet2">
    <w:name w:val="List Bullet 2"/>
    <w:basedOn w:val="ListBullet"/>
    <w:rsid w:val="009648CC"/>
    <w:pPr>
      <w:numPr>
        <w:numId w:val="6"/>
      </w:numPr>
    </w:pPr>
  </w:style>
  <w:style w:type="paragraph" w:styleId="ListBullet">
    <w:name w:val="List Bullet"/>
    <w:basedOn w:val="BodyText"/>
    <w:rsid w:val="009648CC"/>
    <w:pPr>
      <w:numPr>
        <w:numId w:val="5"/>
      </w:numPr>
    </w:pPr>
  </w:style>
  <w:style w:type="paragraph" w:styleId="ListBullet3">
    <w:name w:val="List Bullet 3"/>
    <w:basedOn w:val="ListBullet2"/>
    <w:rsid w:val="009648CC"/>
    <w:pPr>
      <w:numPr>
        <w:numId w:val="7"/>
      </w:numPr>
    </w:pPr>
  </w:style>
  <w:style w:type="paragraph" w:customStyle="1" w:styleId="EQ">
    <w:name w:val="EQ"/>
    <w:basedOn w:val="Normal"/>
    <w:next w:val="Normal"/>
    <w:rsid w:val="009648C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648CC"/>
    <w:pPr>
      <w:ind w:left="851"/>
    </w:pPr>
  </w:style>
  <w:style w:type="paragraph" w:styleId="List3">
    <w:name w:val="List 3"/>
    <w:basedOn w:val="List2"/>
    <w:rsid w:val="009648CC"/>
    <w:pPr>
      <w:ind w:left="1135"/>
    </w:pPr>
  </w:style>
  <w:style w:type="paragraph" w:styleId="List4">
    <w:name w:val="List 4"/>
    <w:basedOn w:val="List3"/>
    <w:rsid w:val="009648CC"/>
    <w:pPr>
      <w:ind w:left="1418"/>
    </w:pPr>
  </w:style>
  <w:style w:type="paragraph" w:styleId="List5">
    <w:name w:val="List 5"/>
    <w:basedOn w:val="List4"/>
    <w:rsid w:val="009648CC"/>
    <w:pPr>
      <w:ind w:left="1702"/>
    </w:pPr>
  </w:style>
  <w:style w:type="paragraph" w:customStyle="1" w:styleId="EditorsNote">
    <w:name w:val="Editor's Note"/>
    <w:basedOn w:val="Normal"/>
    <w:rsid w:val="009648C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648CC"/>
    <w:pPr>
      <w:numPr>
        <w:numId w:val="8"/>
      </w:numPr>
    </w:pPr>
  </w:style>
  <w:style w:type="paragraph" w:styleId="ListBullet5">
    <w:name w:val="List Bullet 5"/>
    <w:basedOn w:val="ListBullet4"/>
    <w:rsid w:val="009648CC"/>
    <w:pPr>
      <w:numPr>
        <w:numId w:val="4"/>
      </w:numPr>
    </w:pPr>
  </w:style>
  <w:style w:type="paragraph" w:styleId="Footer">
    <w:name w:val="footer"/>
    <w:basedOn w:val="Header"/>
    <w:semiHidden/>
    <w:rsid w:val="009648C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648CC"/>
    <w:pPr>
      <w:numPr>
        <w:numId w:val="2"/>
      </w:numPr>
    </w:pPr>
  </w:style>
  <w:style w:type="paragraph" w:styleId="BalloonText">
    <w:name w:val="Balloon Text"/>
    <w:basedOn w:val="Normal"/>
    <w:semiHidden/>
    <w:rsid w:val="009648C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648CC"/>
  </w:style>
  <w:style w:type="paragraph" w:styleId="BodyText">
    <w:name w:val="Body Text"/>
    <w:basedOn w:val="Normal"/>
    <w:link w:val="BodyTextChar"/>
    <w:rsid w:val="009648CC"/>
  </w:style>
  <w:style w:type="character" w:styleId="Hyperlink">
    <w:name w:val="Hyperlink"/>
    <w:rsid w:val="009648CC"/>
    <w:rPr>
      <w:color w:val="0000FF"/>
      <w:u w:val="single"/>
    </w:rPr>
  </w:style>
  <w:style w:type="character" w:styleId="FollowedHyperlink">
    <w:name w:val="FollowedHyperlink"/>
    <w:semiHidden/>
    <w:rsid w:val="009648CC"/>
    <w:rPr>
      <w:color w:val="FF0000"/>
      <w:u w:val="single"/>
    </w:rPr>
  </w:style>
  <w:style w:type="character" w:styleId="CommentReference">
    <w:name w:val="annotation reference"/>
    <w:semiHidden/>
    <w:rsid w:val="009648CC"/>
    <w:rPr>
      <w:sz w:val="16"/>
      <w:szCs w:val="16"/>
    </w:rPr>
  </w:style>
  <w:style w:type="paragraph" w:styleId="CommentText">
    <w:name w:val="annotation text"/>
    <w:basedOn w:val="Normal"/>
    <w:semiHidden/>
    <w:rsid w:val="009648CC"/>
  </w:style>
  <w:style w:type="paragraph" w:styleId="CommentSubject">
    <w:name w:val="annotation subject"/>
    <w:basedOn w:val="CommentText"/>
    <w:next w:val="CommentText"/>
    <w:semiHidden/>
    <w:rsid w:val="009648CC"/>
    <w:rPr>
      <w:b/>
      <w:bCs/>
    </w:rPr>
  </w:style>
  <w:style w:type="character" w:customStyle="1" w:styleId="Heading1Char">
    <w:name w:val="Heading 1 Char"/>
    <w:link w:val="Heading1"/>
    <w:rsid w:val="009648C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648C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648C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648C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648C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648CC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648C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648C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648C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648CC"/>
    <w:pPr>
      <w:spacing w:after="0"/>
    </w:pPr>
  </w:style>
  <w:style w:type="paragraph" w:customStyle="1" w:styleId="TAL">
    <w:name w:val="TAL"/>
    <w:basedOn w:val="Normal"/>
    <w:rsid w:val="009648C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648CC"/>
    <w:pPr>
      <w:jc w:val="center"/>
    </w:pPr>
  </w:style>
  <w:style w:type="paragraph" w:customStyle="1" w:styleId="TAH">
    <w:name w:val="TAH"/>
    <w:basedOn w:val="TAC"/>
    <w:link w:val="TAHCar"/>
    <w:rsid w:val="009648CC"/>
    <w:rPr>
      <w:b/>
    </w:rPr>
  </w:style>
  <w:style w:type="paragraph" w:customStyle="1" w:styleId="TAN">
    <w:name w:val="TAN"/>
    <w:basedOn w:val="TAL"/>
    <w:link w:val="TANChar"/>
    <w:rsid w:val="009648CC"/>
    <w:pPr>
      <w:ind w:left="851" w:hanging="851"/>
    </w:pPr>
  </w:style>
  <w:style w:type="paragraph" w:customStyle="1" w:styleId="TAR">
    <w:name w:val="TAR"/>
    <w:basedOn w:val="TAL"/>
    <w:rsid w:val="009648CC"/>
    <w:pPr>
      <w:jc w:val="right"/>
    </w:pPr>
  </w:style>
  <w:style w:type="paragraph" w:customStyle="1" w:styleId="TH">
    <w:name w:val="TH"/>
    <w:basedOn w:val="Normal"/>
    <w:link w:val="THChar"/>
    <w:rsid w:val="009648C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648C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648C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64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64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64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64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648CC"/>
  </w:style>
  <w:style w:type="paragraph" w:customStyle="1" w:styleId="ZH">
    <w:name w:val="ZH"/>
    <w:rsid w:val="00964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64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648C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64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648CC"/>
    <w:pPr>
      <w:framePr w:wrap="notBeside" w:y="16161"/>
    </w:pPr>
  </w:style>
  <w:style w:type="paragraph" w:customStyle="1" w:styleId="FP">
    <w:name w:val="FP"/>
    <w:basedOn w:val="Normal"/>
    <w:rsid w:val="009648CC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9648CC"/>
    <w:rPr>
      <w:rFonts w:ascii="Arial" w:hAnsi="Arial"/>
      <w:b/>
      <w:lang w:val="en-GB" w:eastAsia="en-US"/>
    </w:rPr>
  </w:style>
  <w:style w:type="paragraph" w:styleId="TableofFigures">
    <w:name w:val="table of figures"/>
    <w:basedOn w:val="Normal"/>
    <w:next w:val="Normal"/>
    <w:semiHidden/>
    <w:rsid w:val="009648CC"/>
    <w:pPr>
      <w:ind w:left="1418" w:hanging="1418"/>
      <w:jc w:val="left"/>
    </w:pPr>
    <w:rPr>
      <w:b/>
    </w:rPr>
  </w:style>
  <w:style w:type="character" w:customStyle="1" w:styleId="TACChar">
    <w:name w:val="TAC Char"/>
    <w:link w:val="TAC"/>
    <w:rsid w:val="009648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48C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48CC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67351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"/>
    <w:link w:val="Heading3"/>
    <w:rsid w:val="004368AF"/>
    <w:rPr>
      <w:rFonts w:ascii="Arial" w:hAnsi="Arial" w:cs="Arial"/>
      <w:sz w:val="28"/>
      <w:szCs w:val="28"/>
      <w:lang w:val="en-GB" w:eastAsia="zh-CN"/>
    </w:rPr>
  </w:style>
  <w:style w:type="paragraph" w:styleId="ListParagraph">
    <w:name w:val="List Paragraph"/>
    <w:basedOn w:val="Normal"/>
    <w:uiPriority w:val="34"/>
    <w:qFormat/>
    <w:rsid w:val="004368AF"/>
    <w:pPr>
      <w:ind w:left="720"/>
      <w:contextualSpacing/>
    </w:pPr>
  </w:style>
  <w:style w:type="character" w:customStyle="1" w:styleId="TFChar">
    <w:name w:val="TF Char"/>
    <w:basedOn w:val="THChar"/>
    <w:link w:val="TF"/>
    <w:rsid w:val="004368AF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E71B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48C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648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648C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"/>
    <w:basedOn w:val="Heading2"/>
    <w:next w:val="Normal"/>
    <w:link w:val="Heading3Char1"/>
    <w:qFormat/>
    <w:rsid w:val="009648C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648C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648C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648C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648C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648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648C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648C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648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648C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648CC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648CC"/>
    <w:pPr>
      <w:ind w:left="1701" w:hanging="1701"/>
    </w:pPr>
  </w:style>
  <w:style w:type="paragraph" w:styleId="TOC4">
    <w:name w:val="toc 4"/>
    <w:basedOn w:val="TOC3"/>
    <w:semiHidden/>
    <w:rsid w:val="009648CC"/>
    <w:pPr>
      <w:ind w:left="1418" w:hanging="1418"/>
    </w:pPr>
  </w:style>
  <w:style w:type="paragraph" w:styleId="TOC3">
    <w:name w:val="toc 3"/>
    <w:basedOn w:val="TOC2"/>
    <w:semiHidden/>
    <w:rsid w:val="009648CC"/>
    <w:pPr>
      <w:ind w:left="1134" w:hanging="1134"/>
    </w:pPr>
  </w:style>
  <w:style w:type="paragraph" w:styleId="TOC2">
    <w:name w:val="toc 2"/>
    <w:basedOn w:val="TOC1"/>
    <w:semiHidden/>
    <w:rsid w:val="009648C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648CC"/>
    <w:pPr>
      <w:ind w:left="284"/>
    </w:pPr>
  </w:style>
  <w:style w:type="paragraph" w:styleId="Index1">
    <w:name w:val="index 1"/>
    <w:basedOn w:val="Normal"/>
    <w:semiHidden/>
    <w:rsid w:val="009648CC"/>
    <w:pPr>
      <w:keepLines/>
      <w:spacing w:after="0"/>
    </w:pPr>
  </w:style>
  <w:style w:type="paragraph" w:styleId="DocumentMap">
    <w:name w:val="Document Map"/>
    <w:basedOn w:val="Normal"/>
    <w:semiHidden/>
    <w:rsid w:val="009648C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648CC"/>
    <w:pPr>
      <w:ind w:left="851"/>
    </w:pPr>
  </w:style>
  <w:style w:type="paragraph" w:styleId="ListNumber">
    <w:name w:val="List Number"/>
    <w:basedOn w:val="List"/>
    <w:rsid w:val="009648CC"/>
  </w:style>
  <w:style w:type="paragraph" w:styleId="List">
    <w:name w:val="List"/>
    <w:basedOn w:val="Normal"/>
    <w:rsid w:val="009648CC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9648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648C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648C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648C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648CC"/>
    <w:pPr>
      <w:ind w:left="1418" w:hanging="1418"/>
    </w:pPr>
  </w:style>
  <w:style w:type="paragraph" w:styleId="TOC6">
    <w:name w:val="toc 6"/>
    <w:basedOn w:val="TOC5"/>
    <w:next w:val="Normal"/>
    <w:semiHidden/>
    <w:rsid w:val="009648CC"/>
    <w:pPr>
      <w:ind w:left="1985" w:hanging="1985"/>
    </w:pPr>
  </w:style>
  <w:style w:type="paragraph" w:styleId="TOC7">
    <w:name w:val="toc 7"/>
    <w:basedOn w:val="TOC6"/>
    <w:next w:val="Normal"/>
    <w:semiHidden/>
    <w:rsid w:val="009648CC"/>
    <w:pPr>
      <w:ind w:left="2268" w:hanging="2268"/>
    </w:pPr>
  </w:style>
  <w:style w:type="paragraph" w:styleId="ListBullet2">
    <w:name w:val="List Bullet 2"/>
    <w:basedOn w:val="ListBullet"/>
    <w:rsid w:val="009648CC"/>
    <w:pPr>
      <w:numPr>
        <w:numId w:val="6"/>
      </w:numPr>
    </w:pPr>
  </w:style>
  <w:style w:type="paragraph" w:styleId="ListBullet">
    <w:name w:val="List Bullet"/>
    <w:basedOn w:val="BodyText"/>
    <w:rsid w:val="009648CC"/>
    <w:pPr>
      <w:numPr>
        <w:numId w:val="5"/>
      </w:numPr>
    </w:pPr>
  </w:style>
  <w:style w:type="paragraph" w:styleId="ListBullet3">
    <w:name w:val="List Bullet 3"/>
    <w:basedOn w:val="ListBullet2"/>
    <w:rsid w:val="009648CC"/>
    <w:pPr>
      <w:numPr>
        <w:numId w:val="7"/>
      </w:numPr>
    </w:pPr>
  </w:style>
  <w:style w:type="paragraph" w:customStyle="1" w:styleId="EQ">
    <w:name w:val="EQ"/>
    <w:basedOn w:val="Normal"/>
    <w:next w:val="Normal"/>
    <w:rsid w:val="009648C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648CC"/>
    <w:pPr>
      <w:ind w:left="851"/>
    </w:pPr>
  </w:style>
  <w:style w:type="paragraph" w:styleId="List3">
    <w:name w:val="List 3"/>
    <w:basedOn w:val="List2"/>
    <w:rsid w:val="009648CC"/>
    <w:pPr>
      <w:ind w:left="1135"/>
    </w:pPr>
  </w:style>
  <w:style w:type="paragraph" w:styleId="List4">
    <w:name w:val="List 4"/>
    <w:basedOn w:val="List3"/>
    <w:rsid w:val="009648CC"/>
    <w:pPr>
      <w:ind w:left="1418"/>
    </w:pPr>
  </w:style>
  <w:style w:type="paragraph" w:styleId="List5">
    <w:name w:val="List 5"/>
    <w:basedOn w:val="List4"/>
    <w:rsid w:val="009648CC"/>
    <w:pPr>
      <w:ind w:left="1702"/>
    </w:pPr>
  </w:style>
  <w:style w:type="paragraph" w:customStyle="1" w:styleId="EditorsNote">
    <w:name w:val="Editor's Note"/>
    <w:basedOn w:val="Normal"/>
    <w:rsid w:val="009648C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648CC"/>
    <w:pPr>
      <w:numPr>
        <w:numId w:val="8"/>
      </w:numPr>
    </w:pPr>
  </w:style>
  <w:style w:type="paragraph" w:styleId="ListBullet5">
    <w:name w:val="List Bullet 5"/>
    <w:basedOn w:val="ListBullet4"/>
    <w:rsid w:val="009648CC"/>
    <w:pPr>
      <w:numPr>
        <w:numId w:val="4"/>
      </w:numPr>
    </w:pPr>
  </w:style>
  <w:style w:type="paragraph" w:styleId="Footer">
    <w:name w:val="footer"/>
    <w:basedOn w:val="Header"/>
    <w:semiHidden/>
    <w:rsid w:val="009648C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648CC"/>
    <w:pPr>
      <w:numPr>
        <w:numId w:val="2"/>
      </w:numPr>
    </w:pPr>
  </w:style>
  <w:style w:type="paragraph" w:styleId="BalloonText">
    <w:name w:val="Balloon Text"/>
    <w:basedOn w:val="Normal"/>
    <w:semiHidden/>
    <w:rsid w:val="009648C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648CC"/>
  </w:style>
  <w:style w:type="paragraph" w:styleId="BodyText">
    <w:name w:val="Body Text"/>
    <w:basedOn w:val="Normal"/>
    <w:link w:val="BodyTextChar"/>
    <w:rsid w:val="009648CC"/>
  </w:style>
  <w:style w:type="character" w:styleId="Hyperlink">
    <w:name w:val="Hyperlink"/>
    <w:rsid w:val="009648CC"/>
    <w:rPr>
      <w:color w:val="0000FF"/>
      <w:u w:val="single"/>
    </w:rPr>
  </w:style>
  <w:style w:type="character" w:styleId="FollowedHyperlink">
    <w:name w:val="FollowedHyperlink"/>
    <w:semiHidden/>
    <w:rsid w:val="009648CC"/>
    <w:rPr>
      <w:color w:val="FF0000"/>
      <w:u w:val="single"/>
    </w:rPr>
  </w:style>
  <w:style w:type="character" w:styleId="CommentReference">
    <w:name w:val="annotation reference"/>
    <w:semiHidden/>
    <w:rsid w:val="009648CC"/>
    <w:rPr>
      <w:sz w:val="16"/>
      <w:szCs w:val="16"/>
    </w:rPr>
  </w:style>
  <w:style w:type="paragraph" w:styleId="CommentText">
    <w:name w:val="annotation text"/>
    <w:basedOn w:val="Normal"/>
    <w:semiHidden/>
    <w:rsid w:val="009648CC"/>
  </w:style>
  <w:style w:type="paragraph" w:styleId="CommentSubject">
    <w:name w:val="annotation subject"/>
    <w:basedOn w:val="CommentText"/>
    <w:next w:val="CommentText"/>
    <w:semiHidden/>
    <w:rsid w:val="009648CC"/>
    <w:rPr>
      <w:b/>
      <w:bCs/>
    </w:rPr>
  </w:style>
  <w:style w:type="character" w:customStyle="1" w:styleId="Heading1Char">
    <w:name w:val="Heading 1 Char"/>
    <w:link w:val="Heading1"/>
    <w:rsid w:val="009648C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648C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648C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648C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648C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648CC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648C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648C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648C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648CC"/>
    <w:pPr>
      <w:spacing w:after="0"/>
    </w:pPr>
  </w:style>
  <w:style w:type="paragraph" w:customStyle="1" w:styleId="TAL">
    <w:name w:val="TAL"/>
    <w:basedOn w:val="Normal"/>
    <w:rsid w:val="009648C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648CC"/>
    <w:pPr>
      <w:jc w:val="center"/>
    </w:pPr>
  </w:style>
  <w:style w:type="paragraph" w:customStyle="1" w:styleId="TAH">
    <w:name w:val="TAH"/>
    <w:basedOn w:val="TAC"/>
    <w:link w:val="TAHCar"/>
    <w:rsid w:val="009648CC"/>
    <w:rPr>
      <w:b/>
    </w:rPr>
  </w:style>
  <w:style w:type="paragraph" w:customStyle="1" w:styleId="TAN">
    <w:name w:val="TAN"/>
    <w:basedOn w:val="TAL"/>
    <w:link w:val="TANChar"/>
    <w:rsid w:val="009648CC"/>
    <w:pPr>
      <w:ind w:left="851" w:hanging="851"/>
    </w:pPr>
  </w:style>
  <w:style w:type="paragraph" w:customStyle="1" w:styleId="TAR">
    <w:name w:val="TAR"/>
    <w:basedOn w:val="TAL"/>
    <w:rsid w:val="009648CC"/>
    <w:pPr>
      <w:jc w:val="right"/>
    </w:pPr>
  </w:style>
  <w:style w:type="paragraph" w:customStyle="1" w:styleId="TH">
    <w:name w:val="TH"/>
    <w:basedOn w:val="Normal"/>
    <w:link w:val="THChar"/>
    <w:rsid w:val="009648C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648C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648C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64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64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64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64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648CC"/>
  </w:style>
  <w:style w:type="paragraph" w:customStyle="1" w:styleId="ZH">
    <w:name w:val="ZH"/>
    <w:rsid w:val="00964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64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648C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64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648CC"/>
    <w:pPr>
      <w:framePr w:wrap="notBeside" w:y="16161"/>
    </w:pPr>
  </w:style>
  <w:style w:type="paragraph" w:customStyle="1" w:styleId="FP">
    <w:name w:val="FP"/>
    <w:basedOn w:val="Normal"/>
    <w:rsid w:val="009648CC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9648CC"/>
    <w:rPr>
      <w:rFonts w:ascii="Arial" w:hAnsi="Arial"/>
      <w:b/>
      <w:lang w:val="en-GB" w:eastAsia="en-US"/>
    </w:rPr>
  </w:style>
  <w:style w:type="paragraph" w:styleId="TableofFigures">
    <w:name w:val="table of figures"/>
    <w:basedOn w:val="Normal"/>
    <w:next w:val="Normal"/>
    <w:semiHidden/>
    <w:rsid w:val="009648CC"/>
    <w:pPr>
      <w:ind w:left="1418" w:hanging="1418"/>
      <w:jc w:val="left"/>
    </w:pPr>
    <w:rPr>
      <w:b/>
    </w:rPr>
  </w:style>
  <w:style w:type="character" w:customStyle="1" w:styleId="TACChar">
    <w:name w:val="TAC Char"/>
    <w:link w:val="TAC"/>
    <w:rsid w:val="009648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48C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48CC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67351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"/>
    <w:link w:val="Heading3"/>
    <w:rsid w:val="004368AF"/>
    <w:rPr>
      <w:rFonts w:ascii="Arial" w:hAnsi="Arial" w:cs="Arial"/>
      <w:sz w:val="28"/>
      <w:szCs w:val="28"/>
      <w:lang w:val="en-GB" w:eastAsia="zh-CN"/>
    </w:rPr>
  </w:style>
  <w:style w:type="paragraph" w:styleId="ListParagraph">
    <w:name w:val="List Paragraph"/>
    <w:basedOn w:val="Normal"/>
    <w:uiPriority w:val="34"/>
    <w:qFormat/>
    <w:rsid w:val="004368AF"/>
    <w:pPr>
      <w:ind w:left="720"/>
      <w:contextualSpacing/>
    </w:pPr>
  </w:style>
  <w:style w:type="character" w:customStyle="1" w:styleId="TFChar">
    <w:name w:val="TF Char"/>
    <w:basedOn w:val="THChar"/>
    <w:link w:val="TF"/>
    <w:rsid w:val="004368AF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E71B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khan\Desktop\RAN4\Meetings\3GPPRAN4%2376%20(China)\Workspace\AAS\AAS%20conducted%20power%20(TP%20&amp;%20discussion%20paper)\final\R4-15xxx%20Conducted%20power%20for%20AAS%20B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R4-15xxx Conducted power for AAS BS</Template>
  <TotalTime>4</TotalTime>
  <Pages>5</Pages>
  <Words>1688</Words>
  <Characters>8951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AAK</cp:lastModifiedBy>
  <cp:revision>5</cp:revision>
  <cp:lastPrinted>2008-01-31T06:09:00Z</cp:lastPrinted>
  <dcterms:created xsi:type="dcterms:W3CDTF">2015-08-17T15:57:00Z</dcterms:created>
  <dcterms:modified xsi:type="dcterms:W3CDTF">2015-08-17T16:35:00Z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